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306A" w:rsidRDefault="000F306A">
      <w:pPr>
        <w:rPr>
          <w:rFonts w:hint="eastAsia"/>
        </w:rPr>
      </w:pPr>
      <w:r>
        <w:rPr>
          <w:sz w:val="32"/>
          <w:szCs w:val="32"/>
          <w:lang w:val="en-US" w:eastAsia="zh-CN"/>
        </w:rPr>
        <w:pict>
          <v:rect id="_x0000_s1026" style="position:absolute;left:0;text-align:left;margin-left:.15pt;margin-top:37.1pt;width:375.6pt;height:110.4pt;z-index:251656192" filled="f" stroked="f">
            <v:textbox>
              <w:txbxContent>
                <w:p w:rsidR="000F306A" w:rsidRDefault="000F306A">
                  <w:pPr>
                    <w:pStyle w:val="20"/>
                    <w:jc w:val="left"/>
                    <w:rPr>
                      <w:rFonts w:hint="eastAsia"/>
                      <w:color w:val="FF0000"/>
                      <w:spacing w:val="0"/>
                      <w:w w:val="60"/>
                      <w:kern w:val="0"/>
                    </w:rPr>
                  </w:pPr>
                  <w:r>
                    <w:rPr>
                      <w:rFonts w:ascii="方正小标宋简体" w:eastAsia="方正小标宋简体" w:hAnsi="方正小标宋简体" w:hint="eastAsia"/>
                      <w:color w:val="FF0000"/>
                      <w:spacing w:val="0"/>
                      <w:w w:val="60"/>
                      <w:kern w:val="0"/>
                    </w:rPr>
                    <w:t>财政部驻贵州省财政监察专员办事处</w:t>
                  </w:r>
                </w:p>
                <w:p w:rsidR="000F306A" w:rsidRDefault="000F306A">
                  <w:pPr>
                    <w:spacing w:before="120"/>
                    <w:rPr>
                      <w:rFonts w:eastAsia="华文中宋" w:hint="eastAsia"/>
                      <w:color w:val="FF0000"/>
                      <w:sz w:val="96"/>
                    </w:rPr>
                  </w:pPr>
                  <w:r>
                    <w:rPr>
                      <w:rFonts w:ascii="方正小标宋简体" w:eastAsia="方正小标宋简体" w:hAnsi="方正小标宋简体" w:hint="eastAsia"/>
                      <w:color w:val="FF0000"/>
                      <w:spacing w:val="0"/>
                      <w:w w:val="60"/>
                      <w:kern w:val="0"/>
                      <w:sz w:val="72"/>
                    </w:rPr>
                    <w:t>贵    州    省    财    政    厅</w:t>
                  </w:r>
                  <w:r>
                    <w:rPr>
                      <w:rFonts w:hint="eastAsia"/>
                      <w:color w:val="FF0000"/>
                      <w:spacing w:val="0"/>
                      <w:w w:val="60"/>
                      <w:kern w:val="0"/>
                      <w:sz w:val="96"/>
                    </w:rPr>
                    <w:t xml:space="preserve"> </w:t>
                  </w:r>
                  <w:r>
                    <w:rPr>
                      <w:rFonts w:eastAsia="华文中宋" w:hint="eastAsia"/>
                      <w:color w:val="FF0000"/>
                      <w:sz w:val="96"/>
                    </w:rPr>
                    <w:t xml:space="preserve">   </w:t>
                  </w:r>
                </w:p>
              </w:txbxContent>
            </v:textbox>
          </v:rect>
        </w:pict>
      </w:r>
    </w:p>
    <w:p w:rsidR="000F306A" w:rsidRDefault="000F306A">
      <w:pPr>
        <w:rPr>
          <w:rFonts w:hint="eastAsia"/>
        </w:rPr>
      </w:pPr>
    </w:p>
    <w:p w:rsidR="000F306A" w:rsidRDefault="000F306A">
      <w:pPr>
        <w:rPr>
          <w:rFonts w:hint="eastAsia"/>
        </w:rPr>
      </w:pPr>
      <w:r>
        <w:pict>
          <v:shapetype id="_x0000_t202" coordsize="21600,21600" o:spt="202" path="m,l,21600r21600,l21600,xe">
            <v:stroke joinstyle="miter"/>
            <v:path gradientshapeok="t" o:connecttype="rect"/>
          </v:shapetype>
          <v:shape id="_x0000_s1027" type="#_x0000_t202" style="position:absolute;left:0;text-align:left;margin-left:355.5pt;margin-top:2.55pt;width:105pt;height:75.75pt;z-index:251657216" filled="f" stroked="f">
            <v:textbox>
              <w:txbxContent>
                <w:p w:rsidR="000F306A" w:rsidRDefault="000F306A">
                  <w:pPr>
                    <w:rPr>
                      <w:rFonts w:hint="eastAsia"/>
                    </w:rPr>
                  </w:pPr>
                  <w:r>
                    <w:rPr>
                      <w:rFonts w:ascii="方正小标宋简体" w:eastAsia="方正小标宋简体" w:hAnsi="方正小标宋简体" w:hint="eastAsia"/>
                      <w:color w:val="FF0000"/>
                      <w:sz w:val="84"/>
                    </w:rPr>
                    <w:t>文件</w:t>
                  </w:r>
                </w:p>
              </w:txbxContent>
            </v:textbox>
          </v:shape>
        </w:pict>
      </w:r>
    </w:p>
    <w:p w:rsidR="000F306A" w:rsidRDefault="000F306A">
      <w:pPr>
        <w:jc w:val="right"/>
        <w:rPr>
          <w:rFonts w:hint="eastAsia"/>
          <w:sz w:val="32"/>
        </w:rPr>
      </w:pPr>
    </w:p>
    <w:p w:rsidR="000F306A" w:rsidRDefault="000F306A">
      <w:pPr>
        <w:jc w:val="center"/>
        <w:rPr>
          <w:rFonts w:hint="eastAsia"/>
          <w:sz w:val="32"/>
        </w:rPr>
      </w:pPr>
    </w:p>
    <w:p w:rsidR="000F306A" w:rsidRDefault="000F306A">
      <w:pPr>
        <w:jc w:val="center"/>
        <w:rPr>
          <w:rFonts w:hint="eastAsia"/>
          <w:sz w:val="32"/>
        </w:rPr>
      </w:pPr>
    </w:p>
    <w:p w:rsidR="000F306A" w:rsidRDefault="000F306A">
      <w:pPr>
        <w:jc w:val="center"/>
        <w:rPr>
          <w:rFonts w:hint="eastAsia"/>
          <w:sz w:val="32"/>
        </w:rPr>
      </w:pPr>
      <w:r>
        <w:rPr>
          <w:rFonts w:hint="eastAsia"/>
          <w:sz w:val="32"/>
        </w:rPr>
        <w:t>财驻黔监〔</w:t>
      </w:r>
      <w:bookmarkStart w:id="0" w:name="fwYear"/>
      <w:r>
        <w:rPr>
          <w:rFonts w:hint="eastAsia"/>
          <w:sz w:val="32"/>
        </w:rPr>
        <w:t>2015</w:t>
      </w:r>
      <w:bookmarkEnd w:id="0"/>
      <w:r>
        <w:rPr>
          <w:rFonts w:hint="eastAsia"/>
          <w:sz w:val="32"/>
        </w:rPr>
        <w:t>〕</w:t>
      </w:r>
      <w:r w:rsidR="00230548">
        <w:rPr>
          <w:rFonts w:hint="eastAsia"/>
          <w:sz w:val="32"/>
        </w:rPr>
        <w:t>25</w:t>
      </w:r>
      <w:r>
        <w:rPr>
          <w:rFonts w:hint="eastAsia"/>
          <w:sz w:val="32"/>
        </w:rPr>
        <w:t>号</w:t>
      </w:r>
    </w:p>
    <w:p w:rsidR="000F306A" w:rsidRDefault="000F306A">
      <w:pPr>
        <w:spacing w:line="400" w:lineRule="atLeast"/>
        <w:rPr>
          <w:rFonts w:hint="eastAsia"/>
          <w:sz w:val="32"/>
          <w:szCs w:val="32"/>
        </w:rPr>
      </w:pPr>
      <w:r>
        <w:rPr>
          <w:sz w:val="32"/>
          <w:szCs w:val="32"/>
          <w:lang w:val="en-US" w:eastAsia="zh-CN"/>
        </w:rPr>
        <w:pict>
          <v:line id="_x0000_s1028" style="position:absolute;left:0;text-align:left;z-index:251655168" from="0,4.2pt" to="436.05pt,4.2pt" strokecolor="red" strokeweight="1.5pt"/>
        </w:pict>
      </w:r>
    </w:p>
    <w:p w:rsidR="000F306A" w:rsidRDefault="000F306A">
      <w:pPr>
        <w:jc w:val="center"/>
        <w:rPr>
          <w:rFonts w:ascii="方正小标宋简体" w:eastAsia="方正小标宋简体" w:hAnsi="华文中宋" w:hint="eastAsia"/>
          <w:sz w:val="44"/>
          <w:szCs w:val="44"/>
        </w:rPr>
      </w:pPr>
      <w:bookmarkStart w:id="1" w:name="title"/>
      <w:r>
        <w:rPr>
          <w:rFonts w:ascii="方正小标宋简体" w:eastAsia="方正小标宋简体" w:hAnsi="华文中宋" w:hint="eastAsia"/>
          <w:sz w:val="44"/>
          <w:szCs w:val="44"/>
        </w:rPr>
        <w:t>财政部驻贵州省财政监察专员办事处</w:t>
      </w:r>
    </w:p>
    <w:p w:rsidR="000F306A" w:rsidRDefault="000F306A">
      <w:pPr>
        <w:jc w:val="center"/>
        <w:rPr>
          <w:rFonts w:ascii="方正小标宋简体" w:eastAsia="方正小标宋简体" w:hAnsi="华文中宋" w:hint="eastAsia"/>
          <w:sz w:val="44"/>
          <w:szCs w:val="44"/>
        </w:rPr>
      </w:pPr>
      <w:r>
        <w:rPr>
          <w:rFonts w:ascii="方正小标宋简体" w:eastAsia="方正小标宋简体" w:hAnsi="华文中宋" w:hint="eastAsia"/>
          <w:sz w:val="44"/>
          <w:szCs w:val="44"/>
        </w:rPr>
        <w:t>贵州省财政厅关于印发《贵州省中</w:t>
      </w:r>
    </w:p>
    <w:p w:rsidR="000F306A" w:rsidRDefault="000F306A">
      <w:pPr>
        <w:jc w:val="center"/>
        <w:rPr>
          <w:rFonts w:ascii="方正小标宋简体" w:eastAsia="方正小标宋简体" w:hAnsi="华文中宋" w:hint="eastAsia"/>
          <w:sz w:val="44"/>
          <w:szCs w:val="44"/>
        </w:rPr>
      </w:pPr>
      <w:r>
        <w:rPr>
          <w:rFonts w:ascii="方正小标宋简体" w:eastAsia="方正小标宋简体" w:hAnsi="华文中宋" w:hint="eastAsia"/>
          <w:sz w:val="44"/>
          <w:szCs w:val="44"/>
        </w:rPr>
        <w:t>央转移支付资金预算监管实施</w:t>
      </w:r>
    </w:p>
    <w:p w:rsidR="000F306A" w:rsidRDefault="000F306A">
      <w:pPr>
        <w:jc w:val="center"/>
        <w:rPr>
          <w:rFonts w:ascii="方正小标宋简体" w:eastAsia="方正小标宋简体" w:hAnsi="华文中宋" w:hint="eastAsia"/>
          <w:sz w:val="44"/>
          <w:szCs w:val="44"/>
        </w:rPr>
      </w:pPr>
      <w:r>
        <w:rPr>
          <w:rFonts w:ascii="方正小标宋简体" w:eastAsia="方正小标宋简体" w:hAnsi="华文中宋" w:hint="eastAsia"/>
          <w:sz w:val="44"/>
          <w:szCs w:val="44"/>
        </w:rPr>
        <w:t>办法（暂行）》的通知</w:t>
      </w:r>
      <w:bookmarkEnd w:id="1"/>
      <w:r>
        <w:rPr>
          <w:rFonts w:ascii="方正小标宋简体" w:eastAsia="方正小标宋简体" w:hAnsi="华文中宋" w:hint="eastAsia"/>
          <w:sz w:val="44"/>
          <w:szCs w:val="44"/>
        </w:rPr>
        <w:t xml:space="preserve"> </w:t>
      </w:r>
    </w:p>
    <w:p w:rsidR="000F306A" w:rsidRDefault="000F306A">
      <w:pPr>
        <w:spacing w:line="240" w:lineRule="auto"/>
        <w:rPr>
          <w:rFonts w:ascii="仿宋_GB2312" w:hint="eastAsia"/>
          <w:sz w:val="32"/>
          <w:szCs w:val="32"/>
        </w:rPr>
      </w:pPr>
    </w:p>
    <w:p w:rsidR="000F306A" w:rsidRDefault="000F306A">
      <w:pPr>
        <w:spacing w:line="240" w:lineRule="auto"/>
        <w:rPr>
          <w:rFonts w:ascii="仿宋_GB2312" w:hint="eastAsia"/>
          <w:sz w:val="32"/>
          <w:szCs w:val="32"/>
        </w:rPr>
      </w:pPr>
    </w:p>
    <w:p w:rsidR="000F306A" w:rsidRDefault="000F306A" w:rsidP="00230548">
      <w:pPr>
        <w:autoSpaceDE/>
        <w:autoSpaceDN/>
        <w:adjustRightInd/>
        <w:snapToGrid/>
        <w:spacing w:line="588" w:lineRule="exact"/>
        <w:rPr>
          <w:rFonts w:ascii="仿宋_GB2312" w:hint="eastAsia"/>
          <w:sz w:val="32"/>
          <w:szCs w:val="32"/>
        </w:rPr>
      </w:pPr>
      <w:bookmarkStart w:id="2" w:name="zhuSongName"/>
      <w:r>
        <w:rPr>
          <w:rFonts w:ascii="仿宋_GB2312" w:hint="eastAsia"/>
          <w:sz w:val="32"/>
          <w:szCs w:val="32"/>
        </w:rPr>
        <w:t>各市（州）、贵安新区财政局，各县（市、区、特区）财政局，省直有关部门</w:t>
      </w:r>
      <w:bookmarkEnd w:id="2"/>
      <w:r>
        <w:rPr>
          <w:rFonts w:ascii="仿宋_GB2312" w:hint="eastAsia"/>
          <w:sz w:val="32"/>
          <w:szCs w:val="32"/>
        </w:rPr>
        <w:t>：</w:t>
      </w:r>
    </w:p>
    <w:p w:rsidR="000F306A" w:rsidRDefault="000F306A" w:rsidP="00230548">
      <w:pPr>
        <w:autoSpaceDE/>
        <w:autoSpaceDN/>
        <w:adjustRightInd/>
        <w:snapToGrid/>
        <w:spacing w:line="588" w:lineRule="exact"/>
        <w:ind w:firstLineChars="200" w:firstLine="664"/>
        <w:rPr>
          <w:rFonts w:ascii="仿宋_GB2312" w:hAnsi="仿宋_GB2312"/>
          <w:sz w:val="32"/>
        </w:rPr>
      </w:pPr>
      <w:r>
        <w:rPr>
          <w:rFonts w:ascii="仿宋_GB2312" w:hAnsi="仿宋_GB2312" w:hint="eastAsia"/>
          <w:sz w:val="32"/>
        </w:rPr>
        <w:t>为进一步加强中央转移支付资金财政预算监管，深入推进各项改革，有效执行财税政策，维护财经秩序，根据《中华人民共和国预算法》、《财政部关于专员办加强财政预算监管工作的通知》（财预〔2014〕352号）等有关法律法规规定，结合贵州省区域特点，我们制定了《贵州省中央转移支付资金预算</w:t>
      </w:r>
      <w:r>
        <w:rPr>
          <w:rFonts w:ascii="仿宋_GB2312" w:hAnsi="仿宋_GB2312" w:hint="eastAsia"/>
          <w:sz w:val="32"/>
        </w:rPr>
        <w:lastRenderedPageBreak/>
        <w:t>监管实施办法（暂行）》，现予印发，请遵照执行。执行中如发现问题，请及时向我们反映。</w:t>
      </w:r>
    </w:p>
    <w:p w:rsidR="000F306A" w:rsidRDefault="000F306A" w:rsidP="00230548">
      <w:pPr>
        <w:spacing w:line="588" w:lineRule="exact"/>
        <w:jc w:val="left"/>
        <w:rPr>
          <w:rFonts w:ascii="仿宋_GB2312" w:hAnsi="仿宋_GB2312" w:hint="eastAsia"/>
          <w:sz w:val="32"/>
        </w:rPr>
      </w:pPr>
    </w:p>
    <w:p w:rsidR="00230548" w:rsidRDefault="00230548" w:rsidP="00230548">
      <w:pPr>
        <w:spacing w:line="588" w:lineRule="exact"/>
        <w:jc w:val="left"/>
        <w:rPr>
          <w:rFonts w:ascii="仿宋_GB2312" w:hAnsi="仿宋_GB2312" w:hint="eastAsia"/>
          <w:sz w:val="32"/>
        </w:rPr>
      </w:pPr>
    </w:p>
    <w:p w:rsidR="000F306A" w:rsidRDefault="000F306A" w:rsidP="000D3E50">
      <w:pPr>
        <w:spacing w:line="570" w:lineRule="exact"/>
        <w:ind w:firstLineChars="200" w:firstLine="664"/>
        <w:jc w:val="left"/>
        <w:rPr>
          <w:rFonts w:ascii="仿宋_GB2312" w:hAnsi="仿宋_GB2312" w:hint="eastAsia"/>
          <w:sz w:val="32"/>
        </w:rPr>
      </w:pPr>
      <w:r>
        <w:rPr>
          <w:rFonts w:ascii="仿宋_GB2312" w:hAnsi="仿宋_GB2312" w:hint="eastAsia"/>
          <w:sz w:val="32"/>
        </w:rPr>
        <w:t xml:space="preserve">附件：《贵州省中央转移支付资金预算监管实施办法（暂 </w:t>
      </w:r>
    </w:p>
    <w:p w:rsidR="000F306A" w:rsidRDefault="000F306A">
      <w:pPr>
        <w:spacing w:line="570" w:lineRule="exact"/>
        <w:ind w:firstLineChars="200" w:firstLine="664"/>
        <w:jc w:val="left"/>
        <w:rPr>
          <w:rFonts w:ascii="仿宋_GB2312" w:hAnsi="仿宋_GB2312" w:hint="eastAsia"/>
          <w:sz w:val="32"/>
        </w:rPr>
      </w:pPr>
      <w:r>
        <w:rPr>
          <w:rFonts w:ascii="仿宋_GB2312" w:hAnsi="仿宋_GB2312" w:hint="eastAsia"/>
          <w:sz w:val="32"/>
        </w:rPr>
        <w:t xml:space="preserve">       行）》</w:t>
      </w:r>
    </w:p>
    <w:p w:rsidR="00230548" w:rsidRDefault="00230548">
      <w:pPr>
        <w:spacing w:line="570" w:lineRule="exact"/>
        <w:ind w:firstLineChars="200" w:firstLine="664"/>
        <w:jc w:val="left"/>
        <w:rPr>
          <w:rFonts w:ascii="仿宋_GB2312" w:hAnsi="仿宋_GB2312" w:hint="eastAsia"/>
          <w:sz w:val="32"/>
        </w:rPr>
      </w:pPr>
    </w:p>
    <w:p w:rsidR="00230548" w:rsidRDefault="00230548">
      <w:pPr>
        <w:spacing w:line="570" w:lineRule="exact"/>
        <w:ind w:firstLineChars="200" w:firstLine="664"/>
        <w:jc w:val="left"/>
        <w:rPr>
          <w:rFonts w:ascii="仿宋_GB2312" w:hAnsi="仿宋_GB2312" w:hint="eastAsia"/>
          <w:sz w:val="32"/>
        </w:rPr>
      </w:pPr>
    </w:p>
    <w:p w:rsidR="00230548" w:rsidRDefault="00230548">
      <w:pPr>
        <w:spacing w:line="570" w:lineRule="exact"/>
        <w:ind w:firstLineChars="200" w:firstLine="664"/>
        <w:jc w:val="left"/>
        <w:rPr>
          <w:rFonts w:ascii="仿宋_GB2312" w:hAnsi="仿宋_GB2312" w:hint="eastAsia"/>
          <w:sz w:val="32"/>
        </w:rPr>
      </w:pPr>
    </w:p>
    <w:p w:rsidR="00230548" w:rsidRDefault="00230548">
      <w:pPr>
        <w:spacing w:line="570" w:lineRule="exact"/>
        <w:ind w:firstLineChars="200" w:firstLine="664"/>
        <w:jc w:val="left"/>
        <w:rPr>
          <w:rFonts w:ascii="仿宋_GB2312" w:hAnsi="仿宋_GB2312" w:hint="eastAsia"/>
          <w:sz w:val="32"/>
        </w:rPr>
      </w:pPr>
    </w:p>
    <w:p w:rsidR="00230548" w:rsidRDefault="00230548">
      <w:pPr>
        <w:spacing w:line="570" w:lineRule="exact"/>
        <w:ind w:firstLineChars="200" w:firstLine="664"/>
        <w:jc w:val="left"/>
        <w:rPr>
          <w:rFonts w:ascii="仿宋_GB2312" w:hAnsi="仿宋_GB2312"/>
          <w:sz w:val="32"/>
        </w:rPr>
      </w:pPr>
    </w:p>
    <w:p w:rsidR="000F306A" w:rsidRDefault="000F306A">
      <w:pPr>
        <w:spacing w:line="570" w:lineRule="exact"/>
        <w:jc w:val="left"/>
        <w:rPr>
          <w:rFonts w:ascii="仿宋_GB2312" w:hAnsi="仿宋_GB2312"/>
          <w:sz w:val="32"/>
        </w:rPr>
      </w:pPr>
      <w:r>
        <w:rPr>
          <w:rFonts w:ascii="仿宋_GB2312" w:hAnsi="仿宋_GB2312"/>
          <w:sz w:val="32"/>
        </w:rPr>
        <w:t xml:space="preserve">    </w:t>
      </w:r>
    </w:p>
    <w:p w:rsidR="000F306A" w:rsidRDefault="000F306A">
      <w:pPr>
        <w:spacing w:line="570" w:lineRule="exact"/>
        <w:jc w:val="right"/>
        <w:rPr>
          <w:rFonts w:ascii="仿宋_GB2312" w:hAnsi="仿宋_GB2312"/>
          <w:sz w:val="32"/>
        </w:rPr>
      </w:pPr>
      <w:r>
        <w:rPr>
          <w:rFonts w:ascii="仿宋_GB2312" w:hAnsi="仿宋_GB2312" w:hint="eastAsia"/>
          <w:sz w:val="32"/>
        </w:rPr>
        <w:t>财政部驻贵州省财政监察专员办事处 贵州省财政厅</w:t>
      </w:r>
    </w:p>
    <w:p w:rsidR="000F306A" w:rsidRDefault="00230548">
      <w:pPr>
        <w:spacing w:line="570" w:lineRule="exact"/>
        <w:jc w:val="center"/>
        <w:rPr>
          <w:rFonts w:ascii="仿宋_GB2312" w:hAnsi="仿宋_GB2312" w:hint="eastAsia"/>
          <w:sz w:val="32"/>
        </w:rPr>
      </w:pPr>
      <w:r>
        <w:rPr>
          <w:rFonts w:ascii="仿宋_GB2312" w:hAnsi="仿宋_GB2312" w:hint="eastAsia"/>
          <w:sz w:val="32"/>
        </w:rPr>
        <w:t xml:space="preserve">           2015</w:t>
      </w:r>
      <w:r w:rsidR="000F306A">
        <w:rPr>
          <w:rFonts w:ascii="仿宋_GB2312" w:hAnsi="仿宋_GB2312" w:hint="eastAsia"/>
          <w:sz w:val="32"/>
        </w:rPr>
        <w:t>年</w:t>
      </w:r>
      <w:r>
        <w:rPr>
          <w:rFonts w:ascii="仿宋_GB2312" w:hAnsi="仿宋_GB2312" w:hint="eastAsia"/>
          <w:sz w:val="32"/>
        </w:rPr>
        <w:t>3</w:t>
      </w:r>
      <w:r w:rsidR="000F306A">
        <w:rPr>
          <w:rFonts w:ascii="仿宋_GB2312" w:hAnsi="仿宋_GB2312" w:hint="eastAsia"/>
          <w:sz w:val="32"/>
        </w:rPr>
        <w:t>月</w:t>
      </w:r>
      <w:r>
        <w:rPr>
          <w:rFonts w:ascii="仿宋_GB2312" w:hAnsi="仿宋_GB2312" w:hint="eastAsia"/>
          <w:sz w:val="32"/>
        </w:rPr>
        <w:t>27</w:t>
      </w:r>
      <w:r w:rsidR="000F306A">
        <w:rPr>
          <w:rFonts w:ascii="仿宋_GB2312" w:hAnsi="仿宋_GB2312" w:hint="eastAsia"/>
          <w:sz w:val="32"/>
        </w:rPr>
        <w:t>日</w:t>
      </w:r>
    </w:p>
    <w:p w:rsidR="000D3E50" w:rsidRDefault="000D3E50">
      <w:pPr>
        <w:spacing w:line="570" w:lineRule="exact"/>
        <w:jc w:val="center"/>
        <w:rPr>
          <w:rFonts w:ascii="仿宋_GB2312" w:hAnsi="仿宋_GB2312" w:hint="eastAsia"/>
          <w:sz w:val="32"/>
        </w:rPr>
      </w:pPr>
    </w:p>
    <w:p w:rsidR="000D3E50" w:rsidRDefault="000D3E50">
      <w:pPr>
        <w:spacing w:line="570" w:lineRule="exact"/>
        <w:jc w:val="center"/>
        <w:rPr>
          <w:rFonts w:ascii="仿宋_GB2312" w:hAnsi="仿宋_GB2312" w:hint="eastAsia"/>
          <w:sz w:val="32"/>
        </w:rPr>
      </w:pPr>
    </w:p>
    <w:p w:rsidR="000D3E50" w:rsidRDefault="000D3E50">
      <w:pPr>
        <w:spacing w:line="570" w:lineRule="exact"/>
        <w:jc w:val="center"/>
        <w:rPr>
          <w:rFonts w:ascii="仿宋_GB2312" w:hAnsi="仿宋_GB2312" w:hint="eastAsia"/>
          <w:sz w:val="32"/>
        </w:rPr>
      </w:pPr>
    </w:p>
    <w:p w:rsidR="000D3E50" w:rsidRDefault="000D3E50">
      <w:pPr>
        <w:spacing w:line="570" w:lineRule="exact"/>
        <w:jc w:val="center"/>
        <w:rPr>
          <w:rFonts w:ascii="仿宋_GB2312" w:hAnsi="仿宋_GB2312" w:hint="eastAsia"/>
          <w:sz w:val="32"/>
        </w:rPr>
      </w:pPr>
    </w:p>
    <w:p w:rsidR="000D3E50" w:rsidRDefault="000D3E50">
      <w:pPr>
        <w:spacing w:line="570" w:lineRule="exact"/>
        <w:jc w:val="center"/>
        <w:rPr>
          <w:rFonts w:ascii="仿宋_GB2312" w:hAnsi="仿宋_GB2312"/>
          <w:sz w:val="32"/>
        </w:rPr>
      </w:pPr>
    </w:p>
    <w:p w:rsidR="000D3E50" w:rsidRDefault="000D3E50" w:rsidP="000D3E50">
      <w:pPr>
        <w:rPr>
          <w:rFonts w:eastAsia="华文中宋" w:hint="eastAsia"/>
          <w:sz w:val="32"/>
        </w:rPr>
      </w:pPr>
      <w:r w:rsidRPr="0097654A">
        <w:rPr>
          <w:rFonts w:ascii="黑体" w:eastAsia="黑体" w:hint="eastAsia"/>
          <w:sz w:val="32"/>
        </w:rPr>
        <w:t>信息公开选项</w:t>
      </w:r>
      <w:r>
        <w:rPr>
          <w:rFonts w:eastAsia="华文中宋" w:hint="eastAsia"/>
          <w:sz w:val="32"/>
        </w:rPr>
        <w:t>：</w:t>
      </w:r>
      <w:bookmarkStart w:id="3" w:name="openType"/>
      <w:r>
        <w:rPr>
          <w:rFonts w:eastAsia="华文中宋" w:hint="eastAsia"/>
          <w:sz w:val="32"/>
        </w:rPr>
        <w:t>主动公开</w:t>
      </w:r>
      <w:r w:rsidRPr="0097654A">
        <w:rPr>
          <w:rFonts w:ascii="华文中宋" w:eastAsia="华文中宋" w:hAnsi="华文中宋" w:hint="eastAsia"/>
          <w:sz w:val="32"/>
        </w:rPr>
        <w:t xml:space="preserve"> </w:t>
      </w:r>
      <w:bookmarkEnd w:id="3"/>
      <w:r w:rsidRPr="0097654A">
        <w:rPr>
          <w:rFonts w:ascii="华文中宋" w:eastAsia="华文中宋" w:hAnsi="华文中宋" w:hint="eastAsia"/>
          <w:sz w:val="32"/>
        </w:rPr>
        <w:t xml:space="preserve"> </w:t>
      </w:r>
    </w:p>
    <w:p w:rsidR="000D3E50" w:rsidRPr="00B77908" w:rsidRDefault="000D3E50" w:rsidP="000D3E50">
      <w:pPr>
        <w:rPr>
          <w:rFonts w:ascii="仿宋_GB2312" w:hint="eastAsia"/>
          <w:sz w:val="28"/>
          <w:szCs w:val="28"/>
        </w:rPr>
      </w:pPr>
      <w:r w:rsidRPr="00344F91">
        <w:rPr>
          <w:rFonts w:ascii="仿宋_GB2312" w:hint="eastAsia"/>
          <w:noProof/>
          <w:sz w:val="32"/>
          <w:szCs w:val="32"/>
        </w:rPr>
        <w:pict>
          <v:line id="_x0000_s1038" style="position:absolute;left:0;text-align:left;z-index:251659264" from="0,6.6pt" to="436.05pt,6.6pt" strokeweight="1.5pt"/>
        </w:pict>
      </w:r>
      <w:r w:rsidRPr="00344F91">
        <w:rPr>
          <w:rFonts w:ascii="仿宋_GB2312" w:hint="eastAsia"/>
          <w:sz w:val="32"/>
          <w:szCs w:val="32"/>
        </w:rPr>
        <w:t xml:space="preserve">　</w:t>
      </w:r>
      <w:r w:rsidRPr="00B77908">
        <w:rPr>
          <w:rFonts w:ascii="仿宋_GB2312" w:hint="eastAsia"/>
          <w:sz w:val="28"/>
          <w:szCs w:val="28"/>
        </w:rPr>
        <w:t>抄报：</w:t>
      </w:r>
      <w:bookmarkStart w:id="4" w:name="chaob"/>
      <w:r>
        <w:rPr>
          <w:rFonts w:ascii="仿宋_GB2312" w:hint="eastAsia"/>
          <w:sz w:val="28"/>
          <w:szCs w:val="28"/>
        </w:rPr>
        <w:t>财政部，贵州省人民政府</w:t>
      </w:r>
      <w:r w:rsidRPr="00B77908">
        <w:rPr>
          <w:rFonts w:ascii="仿宋_GB2312" w:hint="eastAsia"/>
          <w:sz w:val="28"/>
          <w:szCs w:val="28"/>
        </w:rPr>
        <w:t xml:space="preserve"> </w:t>
      </w:r>
      <w:bookmarkEnd w:id="4"/>
      <w:r w:rsidRPr="00B77908">
        <w:rPr>
          <w:rFonts w:ascii="仿宋_GB2312" w:hint="eastAsia"/>
          <w:sz w:val="28"/>
          <w:szCs w:val="28"/>
        </w:rPr>
        <w:t xml:space="preserve"> </w:t>
      </w:r>
      <w:r w:rsidRPr="00B77908">
        <w:rPr>
          <w:rFonts w:ascii="仿宋_GB2312" w:hint="eastAsia"/>
          <w:noProof/>
          <w:sz w:val="28"/>
          <w:szCs w:val="28"/>
        </w:rPr>
        <w:pict>
          <v:line id="_x0000_s1039" style="position:absolute;left:0;text-align:left;z-index:251660288;mso-position-horizontal-relative:text;mso-position-vertical-relative:text" from="0,33.8pt" to="436.05pt,33.8pt"/>
        </w:pict>
      </w:r>
    </w:p>
    <w:p w:rsidR="000D3E50" w:rsidRPr="000D3E50" w:rsidRDefault="000D3E50" w:rsidP="000D3E50">
      <w:pPr>
        <w:ind w:firstLineChars="100" w:firstLine="280"/>
        <w:rPr>
          <w:rFonts w:ascii="仿宋_GB2312" w:hint="eastAsia"/>
          <w:sz w:val="28"/>
          <w:szCs w:val="28"/>
        </w:rPr>
      </w:pPr>
      <w:r w:rsidRPr="00B77908">
        <w:rPr>
          <w:rFonts w:ascii="仿宋_GB2312" w:hint="eastAsia"/>
          <w:sz w:val="28"/>
          <w:szCs w:val="28"/>
        </w:rPr>
        <w:pict>
          <v:line id="_x0000_s1037" style="position:absolute;left:0;text-align:left;z-index:251658240" from="0,31.9pt" to="436.05pt,31.9pt" strokeweight="1.5pt"/>
        </w:pict>
      </w:r>
      <w:r w:rsidRPr="00B77908">
        <w:rPr>
          <w:rFonts w:ascii="仿宋_GB2312" w:hint="eastAsia"/>
          <w:sz w:val="28"/>
          <w:szCs w:val="28"/>
        </w:rPr>
        <w:t>财政部驻贵州省财政监察专员办事处</w:t>
      </w:r>
      <w:r w:rsidRPr="00B77908">
        <w:rPr>
          <w:rFonts w:ascii="仿宋_GB2312" w:hint="eastAsia"/>
          <w:sz w:val="28"/>
          <w:szCs w:val="28"/>
        </w:rPr>
        <w:tab/>
      </w:r>
      <w:r>
        <w:rPr>
          <w:rFonts w:ascii="仿宋_GB2312" w:hint="eastAsia"/>
          <w:sz w:val="28"/>
          <w:szCs w:val="28"/>
        </w:rPr>
        <w:t xml:space="preserve">      2015</w:t>
      </w:r>
      <w:r w:rsidRPr="00B77908">
        <w:rPr>
          <w:rFonts w:ascii="仿宋_GB2312" w:hAnsi="仿宋_GB2312" w:hint="eastAsia"/>
          <w:sz w:val="28"/>
          <w:szCs w:val="28"/>
        </w:rPr>
        <w:t>年</w:t>
      </w:r>
      <w:r>
        <w:rPr>
          <w:rFonts w:ascii="仿宋_GB2312" w:hAnsi="仿宋_GB2312" w:hint="eastAsia"/>
          <w:sz w:val="28"/>
          <w:szCs w:val="28"/>
        </w:rPr>
        <w:t>3</w:t>
      </w:r>
      <w:r w:rsidRPr="00B77908">
        <w:rPr>
          <w:rFonts w:ascii="仿宋_GB2312" w:hAnsi="仿宋_GB2312" w:hint="eastAsia"/>
          <w:sz w:val="28"/>
          <w:szCs w:val="28"/>
        </w:rPr>
        <w:t>月</w:t>
      </w:r>
      <w:r>
        <w:rPr>
          <w:rFonts w:ascii="仿宋_GB2312" w:hAnsi="仿宋_GB2312" w:hint="eastAsia"/>
          <w:sz w:val="28"/>
          <w:szCs w:val="28"/>
        </w:rPr>
        <w:t>31</w:t>
      </w:r>
      <w:r w:rsidRPr="00B77908">
        <w:rPr>
          <w:rFonts w:ascii="仿宋_GB2312" w:hAnsi="仿宋_GB2312" w:hint="eastAsia"/>
          <w:sz w:val="28"/>
          <w:szCs w:val="28"/>
        </w:rPr>
        <w:t>日印发</w:t>
      </w:r>
    </w:p>
    <w:p w:rsidR="00230548" w:rsidRDefault="00230548" w:rsidP="000D3E50">
      <w:pPr>
        <w:pStyle w:val="p0"/>
        <w:spacing w:line="240" w:lineRule="atLeast"/>
        <w:jc w:val="left"/>
        <w:rPr>
          <w:rFonts w:ascii="华文中宋" w:eastAsia="华文中宋" w:hAnsi="华文中宋"/>
          <w:sz w:val="32"/>
        </w:rPr>
      </w:pPr>
    </w:p>
    <w:p w:rsidR="000F306A" w:rsidRDefault="000F306A">
      <w:pPr>
        <w:spacing w:line="560" w:lineRule="atLeast"/>
        <w:jc w:val="center"/>
        <w:rPr>
          <w:rFonts w:ascii="仿宋_GB2312" w:hAnsi="仿宋_GB2312"/>
          <w:sz w:val="44"/>
        </w:rPr>
      </w:pPr>
      <w:r>
        <w:rPr>
          <w:rFonts w:ascii="方正小标宋简体" w:eastAsia="方正小标宋简体" w:hAnsi="仿宋_GB2312" w:hint="eastAsia"/>
          <w:b/>
          <w:sz w:val="44"/>
        </w:rPr>
        <w:t>贵州省中央转移支付资金预算监管实施办法（暂行）</w:t>
      </w:r>
    </w:p>
    <w:p w:rsidR="000F306A" w:rsidRDefault="000F306A">
      <w:pPr>
        <w:spacing w:line="560" w:lineRule="atLeast"/>
        <w:rPr>
          <w:rFonts w:ascii="仿宋_GB2312"/>
          <w:b/>
          <w:sz w:val="28"/>
        </w:rPr>
      </w:pPr>
    </w:p>
    <w:p w:rsidR="000F306A" w:rsidRDefault="000F306A">
      <w:pPr>
        <w:spacing w:line="560" w:lineRule="atLeast"/>
        <w:jc w:val="center"/>
        <w:rPr>
          <w:rFonts w:ascii="仿宋_GB2312"/>
          <w:b/>
          <w:sz w:val="32"/>
        </w:rPr>
      </w:pPr>
      <w:r>
        <w:rPr>
          <w:rFonts w:ascii="仿宋_GB2312" w:hint="eastAsia"/>
          <w:b/>
          <w:sz w:val="32"/>
        </w:rPr>
        <w:t>第一章 总则</w:t>
      </w:r>
    </w:p>
    <w:p w:rsidR="000F306A" w:rsidRDefault="000F306A">
      <w:pPr>
        <w:spacing w:line="560" w:lineRule="atLeast"/>
        <w:rPr>
          <w:rFonts w:ascii="仿宋_GB2312"/>
          <w:b/>
          <w:sz w:val="32"/>
        </w:rPr>
      </w:pPr>
    </w:p>
    <w:p w:rsidR="000F306A" w:rsidRDefault="000F306A">
      <w:pPr>
        <w:spacing w:line="560" w:lineRule="atLeast"/>
        <w:ind w:firstLineChars="200" w:firstLine="667"/>
        <w:rPr>
          <w:rFonts w:ascii="仿宋_GB2312" w:hAnsi="仿宋_GB2312"/>
          <w:sz w:val="32"/>
        </w:rPr>
      </w:pPr>
      <w:r>
        <w:rPr>
          <w:rFonts w:ascii="仿宋_GB2312" w:hAnsi="仿宋_GB2312" w:hint="eastAsia"/>
          <w:b/>
          <w:sz w:val="32"/>
        </w:rPr>
        <w:t xml:space="preserve">第一条 </w:t>
      </w:r>
      <w:r>
        <w:rPr>
          <w:rFonts w:ascii="仿宋_GB2312" w:hAnsi="仿宋_GB2312" w:hint="eastAsia"/>
          <w:sz w:val="32"/>
        </w:rPr>
        <w:t>为进一步加强中央转移支付资金预算监管，建立健全嵌入财政主体业务流程的全过程、常态化资金监管机制，深入推进各项改革，有效执行财税政策，维护财经秩序，适应建立现代财政制度和服务财政改革发展大局的需要，根据《中华人民共和国预算法》、《财政部门监督办法》（财政部令第69号）、《关于印发财政部驻各省财政监察专员办事处职能配置、机构设置和人员编制规定的通知》（中编办发〔1998）7号）、《财政部关于专员办加强财政预算监管工作的通知》（财预〔2014〕352号）等有关法律法规规定，结合贵州省区域特点，制定本实施办法。</w:t>
      </w:r>
    </w:p>
    <w:p w:rsidR="000F306A" w:rsidRDefault="000F306A">
      <w:pPr>
        <w:spacing w:line="560" w:lineRule="atLeast"/>
        <w:ind w:firstLineChars="185" w:firstLine="617"/>
        <w:rPr>
          <w:rFonts w:ascii="仿宋_GB2312" w:hAnsi="仿宋_GB2312"/>
          <w:sz w:val="32"/>
        </w:rPr>
      </w:pPr>
      <w:r>
        <w:rPr>
          <w:rFonts w:ascii="仿宋_GB2312" w:hAnsi="仿宋_GB2312" w:hint="eastAsia"/>
          <w:b/>
          <w:sz w:val="32"/>
        </w:rPr>
        <w:t xml:space="preserve">第二条 </w:t>
      </w:r>
      <w:r>
        <w:rPr>
          <w:rFonts w:ascii="仿宋_GB2312" w:hAnsi="仿宋_GB2312" w:hint="eastAsia"/>
          <w:sz w:val="32"/>
        </w:rPr>
        <w:t>中央转移支付资金是指中央财政通过一般公共预算和其他专项预算拨付给贵州省的补助资金，包括一般性转移支付资金和专项转移支付资金。</w:t>
      </w:r>
    </w:p>
    <w:p w:rsidR="000F306A" w:rsidRDefault="000F306A">
      <w:pPr>
        <w:spacing w:line="560" w:lineRule="atLeast"/>
        <w:ind w:firstLineChars="185" w:firstLine="617"/>
        <w:rPr>
          <w:rFonts w:ascii="仿宋_GB2312" w:hAnsi="仿宋_GB2312"/>
          <w:sz w:val="32"/>
        </w:rPr>
      </w:pPr>
      <w:r>
        <w:rPr>
          <w:rFonts w:ascii="仿宋_GB2312" w:hAnsi="仿宋_GB2312" w:hint="eastAsia"/>
          <w:b/>
          <w:sz w:val="32"/>
        </w:rPr>
        <w:t xml:space="preserve">第三条 </w:t>
      </w:r>
      <w:r>
        <w:rPr>
          <w:rFonts w:ascii="仿宋_GB2312" w:hAnsi="仿宋_GB2312" w:hint="eastAsia"/>
          <w:sz w:val="32"/>
        </w:rPr>
        <w:t>财政部驻贵州省财政监察专员办事处（以下简称专员办）以中央支出预算和政策为依据，对贵州省域内中央转移支付资金预算编制、预算执行、绩效管理等实施预算监管，</w:t>
      </w:r>
      <w:r>
        <w:rPr>
          <w:rFonts w:ascii="仿宋_GB2312" w:hAnsi="仿宋_GB2312" w:hint="eastAsia"/>
          <w:sz w:val="32"/>
        </w:rPr>
        <w:lastRenderedPageBreak/>
        <w:t>实现从以检查业务为主向财政预算管理为主转变、以事后检查为主向事前事中监管为主转变，进一步提高中央财政预算管理的科学性和有效性，保障中央重大政策的落实，促进贵州经济社会发展。</w:t>
      </w:r>
    </w:p>
    <w:p w:rsidR="000F306A" w:rsidRDefault="000F306A">
      <w:pPr>
        <w:spacing w:line="560" w:lineRule="atLeast"/>
        <w:ind w:firstLineChars="185" w:firstLine="617"/>
        <w:rPr>
          <w:rFonts w:ascii="仿宋_GB2312" w:hAnsi="仿宋_GB2312"/>
          <w:sz w:val="32"/>
        </w:rPr>
      </w:pPr>
      <w:r>
        <w:rPr>
          <w:rFonts w:ascii="仿宋_GB2312" w:hAnsi="仿宋_GB2312" w:hint="eastAsia"/>
          <w:b/>
          <w:sz w:val="32"/>
        </w:rPr>
        <w:t xml:space="preserve">第四条 </w:t>
      </w:r>
      <w:r>
        <w:rPr>
          <w:rFonts w:ascii="仿宋_GB2312" w:hAnsi="仿宋_GB2312" w:hint="eastAsia"/>
          <w:sz w:val="32"/>
        </w:rPr>
        <w:t>贵州省各级财政部门依照法律法规规定对中央转移支付资金进行再分配、管理和监督。</w:t>
      </w:r>
    </w:p>
    <w:p w:rsidR="000F306A" w:rsidRDefault="000F306A">
      <w:pPr>
        <w:spacing w:line="560" w:lineRule="atLeast"/>
        <w:ind w:firstLineChars="185" w:firstLine="617"/>
        <w:rPr>
          <w:rFonts w:ascii="仿宋_GB2312" w:hAnsi="仿宋_GB2312"/>
          <w:sz w:val="32"/>
        </w:rPr>
      </w:pPr>
      <w:r>
        <w:rPr>
          <w:rFonts w:ascii="仿宋_GB2312" w:hAnsi="仿宋_GB2312" w:hint="eastAsia"/>
          <w:b/>
          <w:sz w:val="32"/>
        </w:rPr>
        <w:t xml:space="preserve">第五条 </w:t>
      </w:r>
      <w:r>
        <w:rPr>
          <w:rFonts w:ascii="仿宋_GB2312" w:hAnsi="仿宋_GB2312" w:hint="eastAsia"/>
          <w:sz w:val="32"/>
        </w:rPr>
        <w:t>专员办按照立足财政预算、规范工作程序、强化风险防控、就近有效监管原则，健全协调机制，强化制度建设，夯实基础保障，依法高效开展监管，确保各项监管工作成效，确保资金和人员安全。</w:t>
      </w:r>
    </w:p>
    <w:p w:rsidR="000F306A" w:rsidRDefault="000F306A">
      <w:pPr>
        <w:spacing w:line="560" w:lineRule="atLeast"/>
        <w:ind w:firstLineChars="185" w:firstLine="614"/>
        <w:rPr>
          <w:rFonts w:ascii="仿宋_GB2312" w:hAnsi="仿宋_GB2312"/>
          <w:sz w:val="32"/>
        </w:rPr>
      </w:pPr>
    </w:p>
    <w:p w:rsidR="000F306A" w:rsidRDefault="000F306A">
      <w:pPr>
        <w:spacing w:line="560" w:lineRule="atLeast"/>
        <w:jc w:val="center"/>
        <w:rPr>
          <w:rFonts w:ascii="仿宋_GB2312" w:hAnsi="仿宋_GB2312"/>
          <w:sz w:val="32"/>
        </w:rPr>
      </w:pPr>
      <w:r>
        <w:rPr>
          <w:rFonts w:ascii="仿宋_GB2312" w:hint="eastAsia"/>
          <w:b/>
          <w:sz w:val="32"/>
        </w:rPr>
        <w:t>第二章 预算编制审核</w:t>
      </w:r>
    </w:p>
    <w:p w:rsidR="000F306A" w:rsidRDefault="000F306A">
      <w:pPr>
        <w:spacing w:line="560" w:lineRule="atLeast"/>
        <w:ind w:firstLineChars="200" w:firstLine="667"/>
        <w:rPr>
          <w:rFonts w:ascii="仿宋_GB2312" w:hAnsi="仿宋_GB2312"/>
          <w:b/>
          <w:sz w:val="32"/>
        </w:rPr>
      </w:pPr>
    </w:p>
    <w:p w:rsidR="000F306A" w:rsidRDefault="000F306A">
      <w:pPr>
        <w:spacing w:line="560" w:lineRule="atLeast"/>
        <w:ind w:firstLineChars="200" w:firstLine="667"/>
        <w:rPr>
          <w:rFonts w:ascii="仿宋_GB2312" w:hAnsi="仿宋"/>
          <w:sz w:val="32"/>
        </w:rPr>
      </w:pPr>
      <w:r>
        <w:rPr>
          <w:rFonts w:ascii="仿宋_GB2312" w:hAnsi="仿宋_GB2312" w:hint="eastAsia"/>
          <w:b/>
          <w:sz w:val="32"/>
        </w:rPr>
        <w:t xml:space="preserve">第六条 </w:t>
      </w:r>
      <w:r>
        <w:rPr>
          <w:rFonts w:ascii="仿宋_GB2312" w:hAnsi="仿宋_GB2312" w:hint="eastAsia"/>
          <w:sz w:val="32"/>
        </w:rPr>
        <w:t>专员办根据财政部审核规定和要求，结合各项中央转移支付资金特点，重点审核贵州省级财政部门申报中央转移支付资金预算编制相关基础资料。对财政部要求开展预算绩效评价的项目，应对其编报的支出预算绩效目标设定情况、参考有关支出绩效评价情况等进行审核。审核结果和相关建议及时上报财政部。</w:t>
      </w:r>
    </w:p>
    <w:p w:rsidR="000F306A" w:rsidRDefault="000F306A">
      <w:pPr>
        <w:spacing w:line="560" w:lineRule="atLeast"/>
        <w:ind w:firstLineChars="200" w:firstLine="667"/>
        <w:rPr>
          <w:rFonts w:ascii="仿宋_GB2312" w:hAnsi="仿宋_GB2312"/>
          <w:b/>
          <w:sz w:val="32"/>
        </w:rPr>
      </w:pPr>
      <w:r>
        <w:rPr>
          <w:rFonts w:ascii="仿宋_GB2312" w:hAnsi="仿宋_GB2312" w:hint="eastAsia"/>
          <w:b/>
          <w:sz w:val="32"/>
        </w:rPr>
        <w:t xml:space="preserve">第七条 </w:t>
      </w:r>
      <w:r>
        <w:rPr>
          <w:rFonts w:ascii="仿宋_GB2312" w:hAnsi="仿宋_GB2312" w:hint="eastAsia"/>
          <w:sz w:val="32"/>
        </w:rPr>
        <w:t>专员办主要依据财政部授权文件、操作规程和具体要求，国家有关转移支付资金预算编制管理规定和预算绩效管理规定，国家有关授权部门制定的量化标准等开展审核工</w:t>
      </w:r>
      <w:r>
        <w:rPr>
          <w:rFonts w:ascii="仿宋_GB2312" w:hAnsi="仿宋_GB2312" w:hint="eastAsia"/>
          <w:sz w:val="32"/>
        </w:rPr>
        <w:lastRenderedPageBreak/>
        <w:t>作。</w:t>
      </w:r>
    </w:p>
    <w:p w:rsidR="000F306A" w:rsidRDefault="000F306A">
      <w:pPr>
        <w:spacing w:line="560" w:lineRule="atLeast"/>
        <w:ind w:firstLineChars="200" w:firstLine="667"/>
        <w:rPr>
          <w:rFonts w:ascii="仿宋_GB2312" w:hAnsi="仿宋_GB2312"/>
          <w:sz w:val="32"/>
        </w:rPr>
      </w:pPr>
      <w:r>
        <w:rPr>
          <w:rFonts w:ascii="仿宋_GB2312" w:hAnsi="仿宋_GB2312" w:hint="eastAsia"/>
          <w:b/>
          <w:sz w:val="32"/>
        </w:rPr>
        <w:t xml:space="preserve">第八条 </w:t>
      </w:r>
      <w:r>
        <w:rPr>
          <w:rFonts w:ascii="仿宋_GB2312" w:hAnsi="仿宋_GB2312" w:hint="eastAsia"/>
          <w:sz w:val="32"/>
        </w:rPr>
        <w:t>专员办在省级财政部门、相关</w:t>
      </w:r>
      <w:r>
        <w:rPr>
          <w:rFonts w:ascii="仿宋_GB2312" w:hAnsi="仿宋" w:hint="eastAsia"/>
          <w:sz w:val="32"/>
        </w:rPr>
        <w:t>中央</w:t>
      </w:r>
      <w:r>
        <w:rPr>
          <w:rFonts w:ascii="仿宋_GB2312" w:hAnsi="仿宋_GB2312" w:hint="eastAsia"/>
          <w:sz w:val="32"/>
        </w:rPr>
        <w:t>转移支付</w:t>
      </w:r>
      <w:r>
        <w:rPr>
          <w:rFonts w:ascii="仿宋_GB2312" w:hAnsi="仿宋" w:hint="eastAsia"/>
          <w:sz w:val="32"/>
        </w:rPr>
        <w:t>资金管理使用部门和单位（以下简称相关部门和单位）</w:t>
      </w:r>
      <w:r>
        <w:rPr>
          <w:rFonts w:ascii="仿宋_GB2312" w:hAnsi="仿宋_GB2312" w:hint="eastAsia"/>
          <w:sz w:val="32"/>
        </w:rPr>
        <w:t>汇总并审核把关的基础上，重点对省级及以下各级相关部门认定后报送的中央转移支付资金预算编报相关基础资料的真实性、准确性、合规性，对</w:t>
      </w:r>
      <w:r>
        <w:rPr>
          <w:rFonts w:ascii="仿宋_GB2312" w:hAnsi="仿宋" w:hint="eastAsia"/>
          <w:sz w:val="32"/>
        </w:rPr>
        <w:t>预算</w:t>
      </w:r>
      <w:r>
        <w:rPr>
          <w:rFonts w:ascii="仿宋_GB2312" w:hAnsi="仿宋_GB2312" w:hint="eastAsia"/>
          <w:sz w:val="32"/>
        </w:rPr>
        <w:t>绩效目标设置的相关性、</w:t>
      </w:r>
      <w:r>
        <w:rPr>
          <w:rFonts w:ascii="仿宋_GB2312" w:hint="eastAsia"/>
          <w:sz w:val="32"/>
        </w:rPr>
        <w:t>可行性、</w:t>
      </w:r>
      <w:r>
        <w:rPr>
          <w:rFonts w:ascii="仿宋_GB2312" w:hAnsi="仿宋_GB2312" w:hint="eastAsia"/>
          <w:sz w:val="32"/>
        </w:rPr>
        <w:t>科学性、合理性的审核监管，形成审核意见报财政部。</w:t>
      </w:r>
    </w:p>
    <w:p w:rsidR="000F306A" w:rsidRDefault="000F306A">
      <w:pPr>
        <w:spacing w:line="560" w:lineRule="atLeast"/>
        <w:ind w:firstLineChars="200" w:firstLine="664"/>
        <w:rPr>
          <w:rFonts w:ascii="仿宋_GB2312" w:hAnsi="仿宋_GB2312"/>
          <w:sz w:val="32"/>
        </w:rPr>
      </w:pPr>
      <w:r>
        <w:rPr>
          <w:rFonts w:ascii="仿宋_GB2312" w:hAnsi="仿宋_GB2312" w:hint="eastAsia"/>
          <w:sz w:val="32"/>
        </w:rPr>
        <w:t>中央转移支付资金预算编制审核工作应遵循：</w:t>
      </w:r>
    </w:p>
    <w:p w:rsidR="000F306A" w:rsidRDefault="000F306A">
      <w:pPr>
        <w:spacing w:line="560" w:lineRule="atLeast"/>
        <w:ind w:firstLineChars="200" w:firstLine="664"/>
        <w:rPr>
          <w:rFonts w:ascii="仿宋_GB2312" w:hAnsi="仿宋_GB2312"/>
          <w:sz w:val="32"/>
        </w:rPr>
      </w:pPr>
      <w:r>
        <w:rPr>
          <w:rFonts w:ascii="仿宋_GB2312" w:hAnsi="仿宋_GB2312" w:hint="eastAsia"/>
          <w:sz w:val="32"/>
        </w:rPr>
        <w:t>（一）严格程序原则。应按照规定程序要求各负其责，依法履责。</w:t>
      </w:r>
    </w:p>
    <w:p w:rsidR="000F306A" w:rsidRDefault="000F306A">
      <w:pPr>
        <w:spacing w:line="560" w:lineRule="atLeast"/>
        <w:ind w:firstLineChars="200" w:firstLine="664"/>
        <w:rPr>
          <w:rFonts w:ascii="仿宋_GB2312" w:hAnsi="仿宋_GB2312"/>
          <w:sz w:val="32"/>
        </w:rPr>
      </w:pPr>
      <w:r>
        <w:rPr>
          <w:rFonts w:ascii="仿宋_GB2312" w:hAnsi="仿宋_GB2312" w:hint="eastAsia"/>
          <w:sz w:val="32"/>
        </w:rPr>
        <w:t>（二）及时有效原则。应在规定时间内完成审核程序并签署审核意见。</w:t>
      </w:r>
    </w:p>
    <w:p w:rsidR="000F306A" w:rsidRDefault="000F306A">
      <w:pPr>
        <w:spacing w:line="560" w:lineRule="atLeast"/>
        <w:ind w:firstLineChars="200" w:firstLine="664"/>
        <w:rPr>
          <w:rFonts w:ascii="仿宋_GB2312" w:hAnsi="仿宋_GB2312"/>
          <w:sz w:val="32"/>
        </w:rPr>
      </w:pPr>
      <w:r>
        <w:rPr>
          <w:rFonts w:ascii="仿宋_GB2312" w:hAnsi="仿宋_GB2312" w:hint="eastAsia"/>
          <w:sz w:val="32"/>
        </w:rPr>
        <w:t>（三）控制风险原则。必须严格把关，重点环节应取得充分依据。</w:t>
      </w:r>
    </w:p>
    <w:p w:rsidR="000F306A" w:rsidRDefault="000F306A">
      <w:pPr>
        <w:spacing w:line="560" w:lineRule="atLeast"/>
        <w:ind w:firstLineChars="200" w:firstLine="667"/>
        <w:rPr>
          <w:rFonts w:ascii="仿宋_GB2312" w:hAnsi="仿宋_GB2312"/>
          <w:sz w:val="32"/>
        </w:rPr>
      </w:pPr>
      <w:r>
        <w:rPr>
          <w:rFonts w:ascii="仿宋_GB2312" w:hAnsi="仿宋_GB2312" w:hint="eastAsia"/>
          <w:b/>
          <w:sz w:val="32"/>
        </w:rPr>
        <w:t xml:space="preserve">第九条 </w:t>
      </w:r>
      <w:r>
        <w:rPr>
          <w:rFonts w:ascii="仿宋_GB2312" w:hAnsi="仿宋_GB2312" w:hint="eastAsia"/>
          <w:sz w:val="32"/>
        </w:rPr>
        <w:t>专员办开展中央转移支付资金预算编制审核和</w:t>
      </w:r>
      <w:r>
        <w:rPr>
          <w:rFonts w:ascii="仿宋_GB2312" w:hAnsi="仿宋" w:hint="eastAsia"/>
          <w:sz w:val="32"/>
        </w:rPr>
        <w:t>预算</w:t>
      </w:r>
      <w:r>
        <w:rPr>
          <w:rFonts w:ascii="仿宋_GB2312" w:hAnsi="仿宋_GB2312" w:hint="eastAsia"/>
          <w:sz w:val="32"/>
        </w:rPr>
        <w:t>绩效目标设置审核，主要采取资料（纸质报送或信息系统联网传输）送审和现场实地审核方式，按照受理、审核、审定程序开展。必要情况下，可在中央转移支付资金编报环节提前介入审核。</w:t>
      </w:r>
    </w:p>
    <w:p w:rsidR="000F306A" w:rsidRDefault="000F306A">
      <w:pPr>
        <w:spacing w:line="560" w:lineRule="atLeast"/>
        <w:ind w:firstLineChars="200" w:firstLine="667"/>
        <w:rPr>
          <w:rFonts w:ascii="仿宋_GB2312" w:hAnsi="仿宋_GB2312"/>
          <w:b/>
          <w:sz w:val="32"/>
        </w:rPr>
      </w:pPr>
      <w:r>
        <w:rPr>
          <w:rFonts w:ascii="仿宋_GB2312" w:hAnsi="仿宋_GB2312" w:hint="eastAsia"/>
          <w:b/>
          <w:sz w:val="32"/>
        </w:rPr>
        <w:t xml:space="preserve">第十条 </w:t>
      </w:r>
      <w:r>
        <w:rPr>
          <w:rFonts w:ascii="仿宋_GB2312" w:hAnsi="仿宋" w:hint="eastAsia"/>
          <w:sz w:val="32"/>
        </w:rPr>
        <w:t>省级财政部门在向财政部上报</w:t>
      </w:r>
      <w:r>
        <w:rPr>
          <w:rFonts w:ascii="仿宋_GB2312" w:hAnsi="仿宋_GB2312" w:hint="eastAsia"/>
          <w:sz w:val="32"/>
        </w:rPr>
        <w:t>中央转移支付</w:t>
      </w:r>
      <w:r>
        <w:rPr>
          <w:rFonts w:ascii="仿宋_GB2312" w:hAnsi="仿宋" w:hint="eastAsia"/>
          <w:sz w:val="32"/>
        </w:rPr>
        <w:t>资金预算和预算绩效目标申请资料的同时，在3个工作日内或财政部规定时间内，抄报专员办审核，送审资料</w:t>
      </w:r>
      <w:r>
        <w:rPr>
          <w:rFonts w:ascii="仿宋_GB2312" w:hAnsi="仿宋_GB2312" w:hint="eastAsia"/>
          <w:sz w:val="32"/>
        </w:rPr>
        <w:t>包括：申报文件、</w:t>
      </w:r>
      <w:r>
        <w:rPr>
          <w:rFonts w:ascii="仿宋_GB2312" w:hAnsi="仿宋_GB2312" w:hint="eastAsia"/>
          <w:sz w:val="32"/>
        </w:rPr>
        <w:lastRenderedPageBreak/>
        <w:t>基础数据及计算依据、地方政府或部门出台的有关制度措施等</w:t>
      </w:r>
      <w:r>
        <w:rPr>
          <w:rFonts w:ascii="仿宋_GB2312" w:hAnsi="仿宋" w:hint="eastAsia"/>
          <w:sz w:val="32"/>
        </w:rPr>
        <w:t>。根据审核需要，相关部门和单位应一并提供有关</w:t>
      </w:r>
      <w:r>
        <w:rPr>
          <w:rFonts w:ascii="仿宋_GB2312" w:hAnsi="仿宋_GB2312" w:hint="eastAsia"/>
          <w:sz w:val="32"/>
        </w:rPr>
        <w:t>预算申报及批复、决算报告及审计报告、可行性研究报告及批复、内部</w:t>
      </w:r>
      <w:r>
        <w:rPr>
          <w:rFonts w:ascii="仿宋_GB2312" w:hAnsi="仿宋" w:hint="eastAsia"/>
          <w:sz w:val="32"/>
        </w:rPr>
        <w:t>制度文件</w:t>
      </w:r>
      <w:r>
        <w:rPr>
          <w:rFonts w:ascii="仿宋_GB2312" w:hAnsi="仿宋_GB2312" w:hint="eastAsia"/>
          <w:sz w:val="32"/>
        </w:rPr>
        <w:t>以及其他相关资料</w:t>
      </w:r>
      <w:r>
        <w:rPr>
          <w:rFonts w:ascii="仿宋_GB2312" w:hAnsi="仿宋" w:hint="eastAsia"/>
          <w:sz w:val="32"/>
        </w:rPr>
        <w:t>。</w:t>
      </w:r>
    </w:p>
    <w:p w:rsidR="000F306A" w:rsidRDefault="000F306A">
      <w:pPr>
        <w:spacing w:line="560" w:lineRule="atLeast"/>
        <w:ind w:firstLineChars="200" w:firstLine="667"/>
        <w:rPr>
          <w:rFonts w:ascii="仿宋_GB2312" w:hAnsi="仿宋_GB2312"/>
          <w:sz w:val="32"/>
        </w:rPr>
      </w:pPr>
      <w:r>
        <w:rPr>
          <w:rFonts w:ascii="仿宋_GB2312" w:hAnsi="仿宋_GB2312" w:hint="eastAsia"/>
          <w:b/>
          <w:sz w:val="32"/>
        </w:rPr>
        <w:t>第十一条</w:t>
      </w:r>
      <w:r>
        <w:rPr>
          <w:rFonts w:ascii="仿宋_GB2312" w:hAnsi="仿宋" w:hint="eastAsia"/>
          <w:b/>
          <w:sz w:val="32"/>
        </w:rPr>
        <w:t xml:space="preserve"> </w:t>
      </w:r>
      <w:r>
        <w:rPr>
          <w:rFonts w:ascii="仿宋_GB2312" w:hAnsi="仿宋_GB2312" w:hint="eastAsia"/>
          <w:sz w:val="32"/>
        </w:rPr>
        <w:t>专员办收到送审材料后，应明确专人负责及时对送审材料的完整性进行初审，并在2个工作日内明确作出是否受理的意见。送审材料不完整的，应要求其限期补报；材料齐备的，应正式予以受理。</w:t>
      </w:r>
    </w:p>
    <w:p w:rsidR="000F306A" w:rsidRDefault="000F306A">
      <w:pPr>
        <w:spacing w:line="560" w:lineRule="atLeast"/>
        <w:ind w:firstLineChars="200" w:firstLine="667"/>
        <w:rPr>
          <w:rFonts w:ascii="仿宋_GB2312" w:hAnsi="仿宋_GB2312"/>
          <w:sz w:val="32"/>
        </w:rPr>
      </w:pPr>
      <w:r>
        <w:rPr>
          <w:rFonts w:ascii="仿宋_GB2312" w:hAnsi="仿宋_GB2312" w:hint="eastAsia"/>
          <w:b/>
          <w:sz w:val="32"/>
        </w:rPr>
        <w:t>第十二条</w:t>
      </w:r>
      <w:r>
        <w:rPr>
          <w:rFonts w:ascii="仿宋_GB2312" w:hAnsi="仿宋" w:hint="eastAsia"/>
          <w:b/>
          <w:sz w:val="32"/>
        </w:rPr>
        <w:t xml:space="preserve"> </w:t>
      </w:r>
      <w:r>
        <w:rPr>
          <w:rFonts w:ascii="仿宋_GB2312" w:hAnsi="仿宋_GB2312" w:hint="eastAsia"/>
          <w:sz w:val="32"/>
        </w:rPr>
        <w:t>专员办一般应在受理审核事项后10个工作日内，或在财政部规定上报时间前，按照规定程序完成审核。根据审核需要，应开展必要的实地核实工作，并以中央转移支付资金预算监管过程记录（附件1）反映实地审核情况。</w:t>
      </w:r>
    </w:p>
    <w:p w:rsidR="000F306A" w:rsidRDefault="000F306A">
      <w:pPr>
        <w:spacing w:line="560" w:lineRule="atLeast"/>
        <w:ind w:firstLineChars="200" w:firstLine="667"/>
        <w:rPr>
          <w:rFonts w:ascii="仿宋_GB2312" w:hAnsi="仿宋" w:hint="eastAsia"/>
          <w:sz w:val="32"/>
        </w:rPr>
      </w:pPr>
      <w:r>
        <w:rPr>
          <w:rFonts w:ascii="仿宋_GB2312" w:hAnsi="仿宋_GB2312" w:hint="eastAsia"/>
          <w:b/>
          <w:sz w:val="32"/>
        </w:rPr>
        <w:t>第十三条</w:t>
      </w:r>
      <w:r>
        <w:rPr>
          <w:rFonts w:ascii="仿宋_GB2312" w:hAnsi="仿宋" w:hint="eastAsia"/>
          <w:b/>
          <w:sz w:val="32"/>
        </w:rPr>
        <w:t xml:space="preserve"> </w:t>
      </w:r>
      <w:r>
        <w:rPr>
          <w:rFonts w:ascii="仿宋_GB2312" w:hAnsi="仿宋" w:hint="eastAsia"/>
          <w:sz w:val="32"/>
        </w:rPr>
        <w:t>专员办对</w:t>
      </w:r>
      <w:r>
        <w:rPr>
          <w:rFonts w:ascii="仿宋_GB2312" w:hAnsi="仿宋_GB2312" w:hint="eastAsia"/>
          <w:sz w:val="32"/>
        </w:rPr>
        <w:t>资金预算编制不符合规定、预算绩效目标不符合要求的，应要求报送单位调整、修改或退回重报，并按照审核程序重新进行审核。审核结果应正式出具审核意见上报财政部，</w:t>
      </w:r>
      <w:r>
        <w:rPr>
          <w:rFonts w:ascii="仿宋_GB2312" w:hAnsi="仿宋" w:hint="eastAsia"/>
          <w:sz w:val="32"/>
        </w:rPr>
        <w:t>作为财政部对口司局分配中央转移支付资金、制定相关办法及政策的参考依据，</w:t>
      </w:r>
      <w:r>
        <w:rPr>
          <w:rFonts w:ascii="仿宋_GB2312" w:hAnsi="仿宋_GB2312" w:hint="eastAsia"/>
          <w:sz w:val="32"/>
        </w:rPr>
        <w:t>或送相关部门转报。</w:t>
      </w:r>
      <w:r>
        <w:rPr>
          <w:rFonts w:ascii="仿宋_GB2312" w:hAnsi="仿宋" w:hint="eastAsia"/>
          <w:sz w:val="32"/>
        </w:rPr>
        <w:t xml:space="preserve"> </w:t>
      </w:r>
    </w:p>
    <w:p w:rsidR="000F306A" w:rsidRDefault="000F306A">
      <w:pPr>
        <w:spacing w:line="560" w:lineRule="atLeast"/>
        <w:ind w:firstLineChars="200" w:firstLine="664"/>
        <w:rPr>
          <w:rFonts w:ascii="仿宋_GB2312" w:hAnsi="仿宋"/>
          <w:sz w:val="32"/>
        </w:rPr>
      </w:pPr>
    </w:p>
    <w:p w:rsidR="000F306A" w:rsidRDefault="000F306A">
      <w:pPr>
        <w:spacing w:line="560" w:lineRule="atLeast"/>
        <w:jc w:val="center"/>
        <w:rPr>
          <w:rFonts w:ascii="仿宋_GB2312" w:hAnsi="仿宋_GB2312"/>
          <w:sz w:val="32"/>
        </w:rPr>
      </w:pPr>
      <w:r>
        <w:rPr>
          <w:rFonts w:ascii="仿宋_GB2312" w:hint="eastAsia"/>
          <w:b/>
          <w:sz w:val="32"/>
        </w:rPr>
        <w:t>第三章 预算执行监控</w:t>
      </w:r>
    </w:p>
    <w:p w:rsidR="000F306A" w:rsidRDefault="000F306A">
      <w:pPr>
        <w:spacing w:line="560" w:lineRule="atLeast"/>
        <w:ind w:firstLineChars="200" w:firstLine="664"/>
        <w:rPr>
          <w:rFonts w:ascii="仿宋_GB2312" w:hAnsi="仿宋_GB2312"/>
          <w:sz w:val="32"/>
        </w:rPr>
      </w:pPr>
    </w:p>
    <w:p w:rsidR="000F306A" w:rsidRDefault="000F306A">
      <w:pPr>
        <w:spacing w:line="560" w:lineRule="atLeast"/>
        <w:rPr>
          <w:rFonts w:ascii="仿宋_GB2312" w:hAnsi="仿宋_GB2312"/>
          <w:sz w:val="32"/>
        </w:rPr>
      </w:pPr>
      <w:r>
        <w:rPr>
          <w:rFonts w:ascii="仿宋_GB2312" w:hAnsi="仿宋_GB2312" w:hint="eastAsia"/>
          <w:b/>
          <w:sz w:val="32"/>
        </w:rPr>
        <w:t xml:space="preserve">    第十四条 </w:t>
      </w:r>
      <w:r>
        <w:rPr>
          <w:rFonts w:ascii="仿宋_GB2312" w:hAnsi="仿宋_GB2312" w:hint="eastAsia"/>
          <w:sz w:val="32"/>
        </w:rPr>
        <w:t>专员办根据财政部规定和相关制度要求，对贵州省域内中央转移支付资金预算执行情况、预算绩效运行进行</w:t>
      </w:r>
      <w:r>
        <w:rPr>
          <w:rFonts w:ascii="仿宋_GB2312" w:hAnsi="仿宋_GB2312" w:hint="eastAsia"/>
          <w:sz w:val="32"/>
        </w:rPr>
        <w:lastRenderedPageBreak/>
        <w:t>跟踪监管。重点监控资金分配、下达和使用的及时性、合规性、有效性，主要包括资金安排是否符合政策方向、有无按规定时间下达预算、因素选择是否合理、共同支出责任中地方承担部分是否落实，支出进度是否符合要求、有无挤占挪用、有无结转结余资金、资金使用是否有效，预算执行是否可能偏离年初确定的绩效目标等。</w:t>
      </w:r>
    </w:p>
    <w:p w:rsidR="000F306A" w:rsidRDefault="000F306A">
      <w:pPr>
        <w:spacing w:line="560" w:lineRule="atLeast"/>
        <w:ind w:firstLineChars="200" w:firstLine="667"/>
        <w:rPr>
          <w:rFonts w:ascii="仿宋_GB2312" w:hAnsi="仿宋_GB2312"/>
          <w:sz w:val="32"/>
        </w:rPr>
      </w:pPr>
      <w:r>
        <w:rPr>
          <w:rFonts w:ascii="仿宋_GB2312" w:hAnsi="仿宋_GB2312" w:hint="eastAsia"/>
          <w:b/>
          <w:sz w:val="32"/>
        </w:rPr>
        <w:t xml:space="preserve">第十五条 </w:t>
      </w:r>
      <w:r>
        <w:rPr>
          <w:rFonts w:ascii="仿宋_GB2312" w:hAnsi="仿宋_GB2312" w:hint="eastAsia"/>
          <w:sz w:val="32"/>
        </w:rPr>
        <w:t>专员办主要依据《中华人民共和国预算法》等法律、财政部有关中央转移支付资金预算执行管理、预算绩效管理和专项资金管理的规定和具体要求等开展监控工作。</w:t>
      </w:r>
    </w:p>
    <w:p w:rsidR="000F306A" w:rsidRDefault="000F306A">
      <w:pPr>
        <w:spacing w:line="560" w:lineRule="atLeast"/>
        <w:ind w:firstLineChars="200" w:firstLine="667"/>
        <w:rPr>
          <w:rFonts w:ascii="仿宋_GB2312" w:hAnsi="仿宋"/>
          <w:b/>
          <w:sz w:val="32"/>
        </w:rPr>
      </w:pPr>
      <w:r>
        <w:rPr>
          <w:rFonts w:ascii="仿宋_GB2312" w:hAnsi="仿宋_GB2312" w:hint="eastAsia"/>
          <w:b/>
          <w:sz w:val="32"/>
        </w:rPr>
        <w:t xml:space="preserve">第十六条 </w:t>
      </w:r>
      <w:r>
        <w:rPr>
          <w:rFonts w:ascii="仿宋_GB2312" w:hAnsi="仿宋_GB2312" w:hint="eastAsia"/>
          <w:sz w:val="32"/>
        </w:rPr>
        <w:t>专员办根据财政部规定和资金特点，采取联网信息系统线上实时监测与报送资料分析比对，辅以实地核查方式，实施中央转移</w:t>
      </w:r>
      <w:r>
        <w:rPr>
          <w:rFonts w:ascii="仿宋_GB2312" w:hAnsi="仿宋" w:hint="eastAsia"/>
          <w:sz w:val="32"/>
        </w:rPr>
        <w:t>支付资金预算执行过程和预算绩效运行过程动态监控。</w:t>
      </w:r>
    </w:p>
    <w:p w:rsidR="000F306A" w:rsidRDefault="000F306A">
      <w:pPr>
        <w:spacing w:line="560" w:lineRule="atLeast"/>
        <w:ind w:firstLineChars="200" w:firstLine="667"/>
        <w:rPr>
          <w:rFonts w:ascii="仿宋_GB2312" w:hAnsi="仿宋"/>
          <w:sz w:val="32"/>
        </w:rPr>
      </w:pPr>
      <w:r>
        <w:rPr>
          <w:rFonts w:ascii="仿宋_GB2312" w:hAnsi="仿宋_GB2312" w:hint="eastAsia"/>
          <w:b/>
          <w:sz w:val="32"/>
        </w:rPr>
        <w:t xml:space="preserve">第十七条 </w:t>
      </w:r>
      <w:r>
        <w:rPr>
          <w:rFonts w:ascii="仿宋_GB2312" w:hAnsi="仿宋" w:hint="eastAsia"/>
          <w:sz w:val="32"/>
        </w:rPr>
        <w:t>专员办实施中央转移支付资金预算执行过程和预算绩效运行过程动态监控，按照获取资料、监测分析、实地核查、督促整改、结果上报的程序进行。</w:t>
      </w:r>
    </w:p>
    <w:p w:rsidR="000F306A" w:rsidRDefault="000F306A">
      <w:pPr>
        <w:spacing w:line="560" w:lineRule="atLeast"/>
        <w:ind w:firstLineChars="200" w:firstLine="667"/>
        <w:rPr>
          <w:rFonts w:ascii="仿宋_GB2312" w:hAnsi="仿宋"/>
          <w:sz w:val="32"/>
        </w:rPr>
      </w:pPr>
      <w:r>
        <w:rPr>
          <w:rFonts w:ascii="仿宋_GB2312" w:hAnsi="仿宋" w:hint="eastAsia"/>
          <w:b/>
          <w:sz w:val="32"/>
        </w:rPr>
        <w:t xml:space="preserve">第十八条 </w:t>
      </w:r>
      <w:r>
        <w:rPr>
          <w:rFonts w:ascii="仿宋_GB2312" w:hAnsi="仿宋" w:hint="eastAsia"/>
          <w:sz w:val="32"/>
        </w:rPr>
        <w:t>省级财政部门除通过联网信息系统实时传输有关数据信息外，还应将资金分配情况，包括分配依据、分地区分部门分配结果等报财政部的同时，在3个工作日内抄送专员办备查；相关部门和单位也要按照监管要求，及时向专员办报送有关资料。对财政部明确要求重点监管的中央转移支付资金项目，省级财政部门应将资金管理使用情况汇总报送专员办。</w:t>
      </w:r>
      <w:r>
        <w:rPr>
          <w:rFonts w:ascii="仿宋_GB2312" w:hAnsi="仿宋" w:hint="eastAsia"/>
          <w:sz w:val="32"/>
        </w:rPr>
        <w:lastRenderedPageBreak/>
        <w:t>对按照规定要求开展预算绩效评价项目，相关部门应按照规定内容要求于月度（或季度）末10日内通过进度报表、工作简报、信息网络平台等方式，向专员办报送项目实施进程、预算执行进度、资金使用效益等绩效目标运行信息。年度结束后，省级财政部门还应将经人大批准的各级财政汇总及本级年度财政总预算、总决算及说明分析，以及单项中央转移支付资金管理使用总结报告等，抄送专员办备查。</w:t>
      </w:r>
    </w:p>
    <w:p w:rsidR="000F306A" w:rsidRDefault="000F306A">
      <w:pPr>
        <w:spacing w:line="560" w:lineRule="atLeast"/>
        <w:ind w:firstLineChars="200" w:firstLine="667"/>
        <w:rPr>
          <w:rFonts w:ascii="仿宋_GB2312" w:hAnsi="华文楷体"/>
          <w:sz w:val="32"/>
        </w:rPr>
      </w:pPr>
      <w:r>
        <w:rPr>
          <w:rFonts w:ascii="仿宋_GB2312" w:hAnsi="仿宋_GB2312" w:hint="eastAsia"/>
          <w:b/>
          <w:sz w:val="32"/>
        </w:rPr>
        <w:t xml:space="preserve">第十九条 </w:t>
      </w:r>
      <w:r>
        <w:rPr>
          <w:rFonts w:ascii="仿宋_GB2312" w:hAnsi="仿宋" w:hint="eastAsia"/>
          <w:sz w:val="32"/>
        </w:rPr>
        <w:t>专员办收到中央转移支付资金文件后，应及时关注省级财政分配下达情况，督促其在30日内将资金正式下达到县级以上地方各级政府，促进提高执行效率。下达预算指标属于审核事项的，要与上报审核结论进行比对复核，督促审核结果落实到位。专员办一般应按季度和年度</w:t>
      </w:r>
      <w:r>
        <w:rPr>
          <w:rFonts w:ascii="仿宋_GB2312" w:hAnsi="华文楷体" w:hint="eastAsia"/>
          <w:sz w:val="32"/>
        </w:rPr>
        <w:t>开展预算执行信息数据动态</w:t>
      </w:r>
      <w:r>
        <w:rPr>
          <w:rFonts w:ascii="仿宋_GB2312" w:hAnsi="仿宋" w:hint="eastAsia"/>
          <w:sz w:val="32"/>
        </w:rPr>
        <w:t>比对、分析，针对关键节点，排查可能存在的苗头性、倾向性问题；定期采取项目跟踪、数据抽查等方式，对绩效目标实现程度进行跟踪监控分析。</w:t>
      </w:r>
    </w:p>
    <w:p w:rsidR="000F306A" w:rsidRDefault="000F306A">
      <w:pPr>
        <w:spacing w:line="560" w:lineRule="atLeast"/>
        <w:ind w:firstLineChars="200" w:firstLine="667"/>
        <w:rPr>
          <w:rFonts w:ascii="仿宋_GB2312" w:hAnsi="仿宋"/>
          <w:sz w:val="32"/>
        </w:rPr>
      </w:pPr>
      <w:r>
        <w:rPr>
          <w:rFonts w:ascii="仿宋_GB2312" w:hAnsi="仿宋_GB2312" w:hint="eastAsia"/>
          <w:b/>
          <w:sz w:val="32"/>
        </w:rPr>
        <w:t xml:space="preserve">第二十条 </w:t>
      </w:r>
      <w:r>
        <w:rPr>
          <w:rFonts w:ascii="仿宋_GB2312" w:hAnsi="仿宋" w:hint="eastAsia"/>
          <w:sz w:val="32"/>
        </w:rPr>
        <w:t>专员办对中央转移支付资金预算执行和预算绩效运行动态监控中发现的问题线索，应有针对性地到预算资金使用管理部门和单位</w:t>
      </w:r>
      <w:r>
        <w:rPr>
          <w:rFonts w:ascii="仿宋_GB2312" w:hAnsi="华文楷体" w:hint="eastAsia"/>
          <w:sz w:val="32"/>
        </w:rPr>
        <w:t>进行</w:t>
      </w:r>
      <w:r>
        <w:rPr>
          <w:rFonts w:ascii="仿宋_GB2312" w:hAnsi="仿宋" w:hint="eastAsia"/>
          <w:sz w:val="32"/>
        </w:rPr>
        <w:t>实地核查，核实存在问题和产生原因，并作好书面记录。</w:t>
      </w:r>
    </w:p>
    <w:p w:rsidR="000F306A" w:rsidRDefault="000F306A">
      <w:pPr>
        <w:spacing w:line="560" w:lineRule="atLeast"/>
        <w:ind w:firstLineChars="200" w:firstLine="667"/>
        <w:rPr>
          <w:rFonts w:ascii="仿宋_GB2312" w:hAnsi="华文楷体"/>
          <w:sz w:val="32"/>
        </w:rPr>
      </w:pPr>
      <w:r>
        <w:rPr>
          <w:rFonts w:ascii="仿宋_GB2312" w:hAnsi="仿宋_GB2312" w:hint="eastAsia"/>
          <w:b/>
          <w:sz w:val="32"/>
        </w:rPr>
        <w:t xml:space="preserve">第二十一条 </w:t>
      </w:r>
      <w:r>
        <w:rPr>
          <w:rFonts w:ascii="仿宋_GB2312" w:hAnsi="仿宋" w:hint="eastAsia"/>
          <w:sz w:val="32"/>
        </w:rPr>
        <w:t>专员办对已经核实的中央转移支付资金预算执行问题，或发现预算</w:t>
      </w:r>
      <w:r>
        <w:rPr>
          <w:rFonts w:ascii="仿宋_GB2312" w:hint="eastAsia"/>
          <w:sz w:val="32"/>
        </w:rPr>
        <w:t>绩效</w:t>
      </w:r>
      <w:r>
        <w:rPr>
          <w:rFonts w:ascii="仿宋_GB2312" w:hAnsi="仿宋" w:hint="eastAsia"/>
          <w:sz w:val="32"/>
        </w:rPr>
        <w:t>执行可能偏离年初确定的绩效目标时，应通过口头通知、及时下达中央转移支付资金预算监管整</w:t>
      </w:r>
      <w:r>
        <w:rPr>
          <w:rFonts w:ascii="仿宋_GB2312" w:hAnsi="仿宋" w:hint="eastAsia"/>
          <w:sz w:val="32"/>
        </w:rPr>
        <w:lastRenderedPageBreak/>
        <w:t>改通知书（见附件2）等形式，及时将整改意见和建议反馈省级财政部门和相关部门，督促其采取纠正措施，依法合规分配和使用管理资金，</w:t>
      </w:r>
      <w:r>
        <w:rPr>
          <w:rFonts w:ascii="仿宋_GB2312" w:hint="eastAsia"/>
          <w:sz w:val="32"/>
        </w:rPr>
        <w:t>促进绩效目标的顺利实现；</w:t>
      </w:r>
      <w:r>
        <w:rPr>
          <w:rFonts w:ascii="仿宋_GB2312" w:hAnsi="仿宋" w:hint="eastAsia"/>
          <w:sz w:val="32"/>
        </w:rPr>
        <w:t>情况严重的，可建议调整后续预算安排及下达进度、暂缓或停止该项目的执行。应按年度按项目，将转移支付资金的执行监控情况上报财政部作为下一步资金分配和完善政策的重要依据。发</w:t>
      </w:r>
      <w:r>
        <w:rPr>
          <w:rFonts w:ascii="仿宋_GB2312" w:hAnsi="华文楷体" w:hint="eastAsia"/>
          <w:sz w:val="32"/>
        </w:rPr>
        <w:t>现的重大可疑线索要作为专项检查的重要内容。</w:t>
      </w:r>
    </w:p>
    <w:p w:rsidR="000F306A" w:rsidRDefault="000F306A">
      <w:pPr>
        <w:spacing w:line="560" w:lineRule="atLeast"/>
        <w:rPr>
          <w:rFonts w:ascii="仿宋_GB2312"/>
          <w:b/>
          <w:sz w:val="32"/>
        </w:rPr>
      </w:pPr>
    </w:p>
    <w:p w:rsidR="000F306A" w:rsidRDefault="000F306A">
      <w:pPr>
        <w:spacing w:line="560" w:lineRule="atLeast"/>
        <w:jc w:val="center"/>
        <w:rPr>
          <w:rFonts w:ascii="仿宋_GB2312"/>
          <w:b/>
          <w:sz w:val="32"/>
        </w:rPr>
      </w:pPr>
      <w:r>
        <w:rPr>
          <w:rFonts w:ascii="仿宋_GB2312" w:hint="eastAsia"/>
          <w:b/>
          <w:sz w:val="32"/>
        </w:rPr>
        <w:t>第四章 预算绩效评价监管</w:t>
      </w:r>
    </w:p>
    <w:p w:rsidR="000F306A" w:rsidRDefault="000F306A">
      <w:pPr>
        <w:spacing w:line="560" w:lineRule="atLeast"/>
        <w:rPr>
          <w:rFonts w:ascii="仿宋_GB2312" w:hAnsi="仿宋_GB2312"/>
          <w:sz w:val="32"/>
        </w:rPr>
      </w:pPr>
    </w:p>
    <w:p w:rsidR="000F306A" w:rsidRDefault="000F306A">
      <w:pPr>
        <w:spacing w:line="560" w:lineRule="atLeast"/>
        <w:ind w:firstLineChars="200" w:firstLine="667"/>
        <w:rPr>
          <w:rFonts w:ascii="仿宋_GB2312" w:hAnsi="仿宋_GB2312"/>
          <w:sz w:val="32"/>
        </w:rPr>
      </w:pPr>
      <w:r>
        <w:rPr>
          <w:rFonts w:ascii="仿宋_GB2312" w:hAnsi="仿宋_GB2312" w:hint="eastAsia"/>
          <w:b/>
          <w:sz w:val="32"/>
        </w:rPr>
        <w:t xml:space="preserve">第二十二条 </w:t>
      </w:r>
      <w:r>
        <w:rPr>
          <w:rFonts w:ascii="仿宋_GB2312" w:hAnsi="仿宋_GB2312" w:hint="eastAsia"/>
          <w:sz w:val="32"/>
        </w:rPr>
        <w:t>专员办开展预算绩效评价监管，主要包括根据财政部统一安排选取的重点项目开展绩效评价、对地方开展中央转移支付资金绩效评价工作进行监管、会同省级财政部门就中央对贵州省转移支付政策、制度及总体资金管理使用情况进行绩效评价。绩效评价监管应强化支出责任和效率，重点</w:t>
      </w:r>
      <w:r>
        <w:rPr>
          <w:rFonts w:ascii="仿宋_GB2312" w:hint="eastAsia"/>
          <w:sz w:val="32"/>
        </w:rPr>
        <w:t>评价产出和结果的经济性、效率性和效益性，</w:t>
      </w:r>
      <w:r>
        <w:rPr>
          <w:rFonts w:ascii="仿宋_GB2312" w:hAnsi="仿宋_GB2312" w:hint="eastAsia"/>
          <w:sz w:val="32"/>
        </w:rPr>
        <w:t>形成相应的绩效评价报告，提出评价结果的应用建议报财政部。</w:t>
      </w:r>
    </w:p>
    <w:p w:rsidR="000F306A" w:rsidRDefault="000F306A">
      <w:pPr>
        <w:spacing w:line="560" w:lineRule="atLeast"/>
        <w:ind w:firstLineChars="200" w:firstLine="667"/>
        <w:rPr>
          <w:rFonts w:ascii="仿宋_GB2312" w:hAnsi="仿宋_GB2312"/>
          <w:sz w:val="32"/>
        </w:rPr>
      </w:pPr>
      <w:r>
        <w:rPr>
          <w:rFonts w:ascii="仿宋_GB2312" w:hAnsi="仿宋_GB2312" w:hint="eastAsia"/>
          <w:b/>
          <w:sz w:val="32"/>
        </w:rPr>
        <w:t xml:space="preserve">第二十三条 </w:t>
      </w:r>
      <w:r>
        <w:rPr>
          <w:rFonts w:ascii="仿宋_GB2312" w:hAnsi="仿宋_GB2312" w:hint="eastAsia"/>
          <w:sz w:val="32"/>
        </w:rPr>
        <w:t>专员办主要依据《中华人民共和国预算法》、《财政部关于推进预算绩效管理的指导意见》（财预〔2011〕416号）等国家相关法律、法规和规章制度，财政部制定的绩效评价管理制度及工作规范，相关行业政策、行业标准及专业技术规范等，开展预算绩效评价监管工作。</w:t>
      </w:r>
    </w:p>
    <w:p w:rsidR="000F306A" w:rsidRDefault="000F306A">
      <w:pPr>
        <w:spacing w:line="560" w:lineRule="atLeast"/>
        <w:ind w:firstLineChars="200" w:firstLine="667"/>
        <w:rPr>
          <w:rFonts w:ascii="仿宋_GB2312" w:hAnsi="仿宋_GB2312"/>
          <w:sz w:val="32"/>
        </w:rPr>
      </w:pPr>
      <w:r>
        <w:rPr>
          <w:rFonts w:ascii="仿宋_GB2312" w:hAnsi="仿宋_GB2312" w:hint="eastAsia"/>
          <w:b/>
          <w:sz w:val="32"/>
        </w:rPr>
        <w:lastRenderedPageBreak/>
        <w:t xml:space="preserve">第二十四条 </w:t>
      </w:r>
      <w:r>
        <w:rPr>
          <w:rFonts w:ascii="仿宋_GB2312" w:hAnsi="仿宋_GB2312" w:hint="eastAsia"/>
          <w:sz w:val="32"/>
        </w:rPr>
        <w:t>专员办根据财政部规定和资金的不同性质及管理要求，本着重点突破、逐步推开的原则，与预算编制、执行监控有机结合，主要采取资料报送审核与实地核查相结合方式进行绩效评价监管，同时可根据需要与省级财政部门联合开展绩效评价工作。</w:t>
      </w:r>
    </w:p>
    <w:p w:rsidR="000F306A" w:rsidRDefault="000F306A">
      <w:pPr>
        <w:spacing w:line="560" w:lineRule="atLeast"/>
        <w:ind w:firstLineChars="200" w:firstLine="667"/>
        <w:rPr>
          <w:rFonts w:ascii="仿宋_GB2312" w:hAnsi="仿宋_GB2312"/>
          <w:sz w:val="32"/>
        </w:rPr>
      </w:pPr>
      <w:r>
        <w:rPr>
          <w:rFonts w:ascii="仿宋_GB2312" w:hAnsi="仿宋_GB2312" w:hint="eastAsia"/>
          <w:b/>
          <w:sz w:val="32"/>
        </w:rPr>
        <w:t xml:space="preserve">第二十五条 </w:t>
      </w:r>
      <w:r>
        <w:rPr>
          <w:rFonts w:ascii="仿宋_GB2312" w:hAnsi="仿宋_GB2312" w:hint="eastAsia"/>
          <w:sz w:val="32"/>
        </w:rPr>
        <w:t>专员办实施中央转移支付资金预算绩效评价监管，按照报送资料审核、组织审核评价、形成评价报告、结果反馈应用的程序进行。</w:t>
      </w:r>
    </w:p>
    <w:p w:rsidR="000F306A" w:rsidRDefault="000F306A">
      <w:pPr>
        <w:spacing w:line="560" w:lineRule="atLeast"/>
        <w:ind w:firstLineChars="200" w:firstLine="667"/>
        <w:rPr>
          <w:rFonts w:ascii="仿宋_GB2312" w:hAnsi="仿宋_GB2312" w:hint="eastAsia"/>
          <w:sz w:val="32"/>
        </w:rPr>
      </w:pPr>
      <w:r>
        <w:rPr>
          <w:rFonts w:ascii="仿宋_GB2312" w:hAnsi="仿宋_GB2312" w:hint="eastAsia"/>
          <w:b/>
          <w:sz w:val="32"/>
        </w:rPr>
        <w:t xml:space="preserve">第二十六条 </w:t>
      </w:r>
      <w:r>
        <w:rPr>
          <w:rFonts w:ascii="仿宋_GB2312" w:hAnsi="仿宋" w:hint="eastAsia"/>
          <w:sz w:val="32"/>
        </w:rPr>
        <w:t>省级财政部门或</w:t>
      </w:r>
      <w:r>
        <w:rPr>
          <w:rFonts w:ascii="仿宋_GB2312" w:hAnsi="仿宋_GB2312" w:hint="eastAsia"/>
          <w:sz w:val="32"/>
        </w:rPr>
        <w:t xml:space="preserve">相关部门和单位应按照规定内容要求于年度结束后30日内向专员办报送预算绩效评价自评报告，并对自评报告涉及基础资料的真实性、合法性、完整性负责。报告应当包括：基本概况、绩效目标及其设立依据和调整情况、管理措施及组织实施情况、绩效目标完成情况总结分析、未完成绩效目标及其原因说明、下一步改进工作的意见及建议等主要内容。 </w:t>
      </w:r>
    </w:p>
    <w:p w:rsidR="000F306A" w:rsidRDefault="000F306A">
      <w:pPr>
        <w:spacing w:line="560" w:lineRule="atLeast"/>
        <w:ind w:firstLineChars="200" w:firstLine="667"/>
        <w:rPr>
          <w:rFonts w:ascii="仿宋_GB2312" w:hAnsi="仿宋_GB2312"/>
          <w:sz w:val="32"/>
        </w:rPr>
      </w:pPr>
      <w:r>
        <w:rPr>
          <w:rFonts w:ascii="仿宋_GB2312" w:hAnsi="仿宋_GB2312" w:hint="eastAsia"/>
          <w:b/>
          <w:sz w:val="32"/>
        </w:rPr>
        <w:t xml:space="preserve">第二十七条 </w:t>
      </w:r>
      <w:r>
        <w:rPr>
          <w:rFonts w:ascii="仿宋_GB2312" w:hAnsi="仿宋_GB2312" w:hint="eastAsia"/>
          <w:sz w:val="32"/>
        </w:rPr>
        <w:t>专员办应根据财政部委托和相关要求，针对被评价项目特点，合理确定工作人员、制订工作方案，对绩效评价相关资料进行审查核实，科学合理地运用评价方法，对预算支出的经济性、效率性和效益性等绩效目标实现程度进行综合、客观分析评价。</w:t>
      </w:r>
    </w:p>
    <w:p w:rsidR="000F306A" w:rsidRDefault="000F306A">
      <w:pPr>
        <w:spacing w:line="560" w:lineRule="atLeast"/>
        <w:ind w:firstLineChars="200" w:firstLine="667"/>
        <w:rPr>
          <w:rFonts w:ascii="仿宋_GB2312" w:hAnsi="仿宋_GB2312"/>
          <w:sz w:val="32"/>
        </w:rPr>
      </w:pPr>
      <w:r>
        <w:rPr>
          <w:rFonts w:ascii="仿宋_GB2312" w:hAnsi="仿宋_GB2312" w:hint="eastAsia"/>
          <w:b/>
          <w:sz w:val="32"/>
        </w:rPr>
        <w:t xml:space="preserve">第二十八条 </w:t>
      </w:r>
      <w:r>
        <w:rPr>
          <w:rFonts w:ascii="仿宋_GB2312" w:hAnsi="仿宋_GB2312" w:hint="eastAsia"/>
          <w:sz w:val="32"/>
        </w:rPr>
        <w:t>专员办应根据审核评价结果形成相应绩效评价监管报告，并提出评价结果的应用建议报财政部。报告一般</w:t>
      </w:r>
      <w:r>
        <w:rPr>
          <w:rFonts w:ascii="仿宋_GB2312" w:hAnsi="仿宋_GB2312" w:hint="eastAsia"/>
          <w:sz w:val="32"/>
        </w:rPr>
        <w:lastRenderedPageBreak/>
        <w:t>应当包括：基本概况，组织实施情况，采用的</w:t>
      </w:r>
      <w:hyperlink r:id="rId6" w:tgtFrame="_blank" w:history="1">
        <w:r>
          <w:rPr>
            <w:rFonts w:ascii="仿宋_GB2312" w:hAnsi="仿宋_GB2312" w:hint="eastAsia"/>
            <w:sz w:val="32"/>
          </w:rPr>
          <w:t>评价指标体系</w:t>
        </w:r>
      </w:hyperlink>
      <w:r>
        <w:rPr>
          <w:rFonts w:ascii="仿宋_GB2312" w:hAnsi="仿宋_GB2312" w:hint="eastAsia"/>
          <w:sz w:val="32"/>
        </w:rPr>
        <w:t xml:space="preserve">、评价标准和评价方法，绩效目标的实现程度，存在问题及原因分析，评价结论及建议，其他需要说明的问题等主要内容。 </w:t>
      </w:r>
    </w:p>
    <w:p w:rsidR="000F306A" w:rsidRDefault="000F306A">
      <w:pPr>
        <w:spacing w:line="560" w:lineRule="atLeast"/>
        <w:ind w:firstLineChars="200" w:firstLine="667"/>
        <w:rPr>
          <w:rFonts w:ascii="仿宋_GB2312" w:hAnsi="仿宋"/>
          <w:sz w:val="32"/>
        </w:rPr>
      </w:pPr>
      <w:r>
        <w:rPr>
          <w:rFonts w:ascii="仿宋_GB2312" w:hAnsi="仿宋" w:hint="eastAsia"/>
          <w:b/>
          <w:sz w:val="32"/>
        </w:rPr>
        <w:t xml:space="preserve">第二十九条 </w:t>
      </w:r>
      <w:r>
        <w:rPr>
          <w:rFonts w:ascii="仿宋_GB2312" w:hAnsi="仿宋" w:hint="eastAsia"/>
          <w:sz w:val="32"/>
        </w:rPr>
        <w:t>专员办</w:t>
      </w:r>
      <w:r>
        <w:rPr>
          <w:rFonts w:ascii="仿宋_GB2312" w:hAnsi="仿宋_GB2312" w:hint="eastAsia"/>
          <w:sz w:val="32"/>
        </w:rPr>
        <w:t>根据财政部反馈结果督促绩效评价结果的应用，对省级财政部门预算安排与绩效评价结果结合情况，相应后续政策的完善和有关问题的整改落实等进行跟踪，</w:t>
      </w:r>
      <w:r>
        <w:rPr>
          <w:rFonts w:ascii="仿宋_GB2312" w:hAnsi="仿宋" w:hint="eastAsia"/>
          <w:sz w:val="32"/>
        </w:rPr>
        <w:t>督促预算绩效监管结果落实到位。</w:t>
      </w:r>
    </w:p>
    <w:p w:rsidR="000F306A" w:rsidRDefault="000F306A">
      <w:pPr>
        <w:spacing w:line="560" w:lineRule="atLeast"/>
        <w:rPr>
          <w:rFonts w:ascii="仿宋_GB2312"/>
          <w:b/>
          <w:sz w:val="32"/>
        </w:rPr>
      </w:pPr>
    </w:p>
    <w:p w:rsidR="000F306A" w:rsidRDefault="000F306A">
      <w:pPr>
        <w:spacing w:line="560" w:lineRule="atLeast"/>
        <w:jc w:val="center"/>
        <w:rPr>
          <w:rFonts w:ascii="仿宋_GB2312"/>
          <w:b/>
          <w:sz w:val="32"/>
        </w:rPr>
      </w:pPr>
      <w:r>
        <w:rPr>
          <w:rFonts w:ascii="仿宋_GB2312" w:hint="eastAsia"/>
          <w:b/>
          <w:sz w:val="32"/>
        </w:rPr>
        <w:t>第五章 专项检查和调研</w:t>
      </w:r>
    </w:p>
    <w:p w:rsidR="000F306A" w:rsidRDefault="000F306A">
      <w:pPr>
        <w:spacing w:line="560" w:lineRule="atLeast"/>
        <w:rPr>
          <w:rFonts w:ascii="仿宋_GB2312" w:hAnsi="仿宋_GB2312"/>
          <w:sz w:val="32"/>
        </w:rPr>
      </w:pPr>
    </w:p>
    <w:p w:rsidR="000F306A" w:rsidRDefault="000F306A">
      <w:pPr>
        <w:spacing w:line="560" w:lineRule="atLeast"/>
        <w:rPr>
          <w:rFonts w:ascii="仿宋_GB2312" w:hAnsi="仿宋_GB2312"/>
          <w:sz w:val="32"/>
        </w:rPr>
      </w:pPr>
      <w:r>
        <w:rPr>
          <w:rFonts w:ascii="仿宋_GB2312" w:hAnsi="仿宋_GB2312" w:hint="eastAsia"/>
          <w:b/>
          <w:sz w:val="32"/>
        </w:rPr>
        <w:t xml:space="preserve">    第三十条 </w:t>
      </w:r>
      <w:r>
        <w:rPr>
          <w:rFonts w:ascii="仿宋_GB2312" w:hAnsi="仿宋_GB2312" w:hint="eastAsia"/>
          <w:sz w:val="32"/>
        </w:rPr>
        <w:t>专员办根据财政部统一组织部署和有关要求，对贵州省中央转移支付资金使用管理情况开展专项检查，坚决查处截留、挤占、挪用和虚报、冒领预算资金等重大违规违纪违法问题。进一步完善检查工作流程，整合人力资源，提升检查层次与效能。强化检查结果跟踪问效，巩固专项检查成果。</w:t>
      </w:r>
    </w:p>
    <w:p w:rsidR="000F306A" w:rsidRDefault="000F306A">
      <w:pPr>
        <w:spacing w:line="560" w:lineRule="atLeast"/>
        <w:rPr>
          <w:rFonts w:ascii="仿宋_GB2312" w:hAnsi="华文楷体"/>
          <w:sz w:val="32"/>
        </w:rPr>
      </w:pPr>
      <w:r>
        <w:rPr>
          <w:rFonts w:ascii="仿宋_GB2312" w:hAnsi="仿宋_GB2312" w:hint="eastAsia"/>
          <w:b/>
          <w:sz w:val="32"/>
        </w:rPr>
        <w:t xml:space="preserve">    第三十一条 </w:t>
      </w:r>
      <w:r>
        <w:rPr>
          <w:rFonts w:ascii="仿宋_GB2312" w:hAnsi="仿宋" w:hint="eastAsia"/>
          <w:sz w:val="32"/>
        </w:rPr>
        <w:t>专员办根据财政部有关精神和社会关注热点难点，</w:t>
      </w:r>
      <w:r>
        <w:rPr>
          <w:rFonts w:ascii="仿宋_GB2312" w:hAnsi="华文楷体" w:hint="eastAsia"/>
          <w:sz w:val="32"/>
        </w:rPr>
        <w:t>结合预算编制审核和预算执行监控掌握情况，以支出预算和政策为导向，</w:t>
      </w:r>
      <w:r>
        <w:rPr>
          <w:rFonts w:ascii="仿宋_GB2312" w:hAnsi="仿宋" w:hint="eastAsia"/>
          <w:sz w:val="32"/>
        </w:rPr>
        <w:t>遵循“选题求准、调研求深、报告求精”思路，积极开展支出预算政策执行和资金使用管理情况、政策设计与地方需求贴合度等专题调研</w:t>
      </w:r>
      <w:r>
        <w:rPr>
          <w:rFonts w:ascii="仿宋_GB2312" w:hAnsi="华文楷体" w:hint="eastAsia"/>
          <w:sz w:val="32"/>
        </w:rPr>
        <w:t>，分析执行现状和存在问题原因，提出有价值的意见和建议。</w:t>
      </w:r>
    </w:p>
    <w:p w:rsidR="000F306A" w:rsidRDefault="000F306A">
      <w:pPr>
        <w:spacing w:line="560" w:lineRule="atLeast"/>
        <w:rPr>
          <w:rFonts w:ascii="仿宋_GB2312"/>
          <w:b/>
          <w:sz w:val="32"/>
        </w:rPr>
      </w:pPr>
    </w:p>
    <w:p w:rsidR="000F306A" w:rsidRDefault="000F306A">
      <w:pPr>
        <w:spacing w:line="560" w:lineRule="atLeast"/>
        <w:jc w:val="center"/>
        <w:rPr>
          <w:rFonts w:ascii="仿宋_GB2312"/>
          <w:b/>
          <w:sz w:val="32"/>
        </w:rPr>
      </w:pPr>
      <w:r>
        <w:rPr>
          <w:rFonts w:ascii="仿宋_GB2312" w:hint="eastAsia"/>
          <w:b/>
          <w:sz w:val="32"/>
        </w:rPr>
        <w:lastRenderedPageBreak/>
        <w:t>第六章 保障措施</w:t>
      </w:r>
    </w:p>
    <w:p w:rsidR="000F306A" w:rsidRDefault="000F306A">
      <w:pPr>
        <w:spacing w:line="560" w:lineRule="atLeast"/>
        <w:ind w:firstLineChars="250" w:firstLine="833"/>
        <w:rPr>
          <w:rFonts w:ascii="仿宋_GB2312" w:hAnsi="仿宋_GB2312"/>
          <w:b/>
          <w:sz w:val="32"/>
        </w:rPr>
      </w:pPr>
    </w:p>
    <w:p w:rsidR="000F306A" w:rsidRDefault="000F306A">
      <w:pPr>
        <w:spacing w:line="560" w:lineRule="atLeast"/>
        <w:rPr>
          <w:rFonts w:ascii="仿宋_GB2312" w:hAnsi="仿宋_GB2312"/>
          <w:b/>
          <w:sz w:val="32"/>
        </w:rPr>
      </w:pPr>
      <w:r>
        <w:rPr>
          <w:rFonts w:ascii="仿宋_GB2312" w:hAnsi="仿宋_GB2312" w:hint="eastAsia"/>
          <w:b/>
          <w:sz w:val="32"/>
        </w:rPr>
        <w:t xml:space="preserve">    第三十二条  </w:t>
      </w:r>
      <w:r>
        <w:rPr>
          <w:rFonts w:ascii="仿宋_GB2312" w:hAnsi="仿宋_GB2312" w:hint="eastAsia"/>
          <w:sz w:val="32"/>
        </w:rPr>
        <w:t>专员办要加强沟通联系，健全工作机制。</w:t>
      </w:r>
    </w:p>
    <w:p w:rsidR="000F306A" w:rsidRDefault="000F306A">
      <w:pPr>
        <w:spacing w:line="560" w:lineRule="atLeast"/>
        <w:ind w:firstLineChars="200" w:firstLine="664"/>
        <w:rPr>
          <w:rFonts w:ascii="仿宋_GB2312" w:hAnsi="仿宋_GB2312"/>
          <w:sz w:val="32"/>
        </w:rPr>
      </w:pPr>
      <w:r>
        <w:rPr>
          <w:rFonts w:ascii="仿宋_GB2312" w:hAnsi="仿宋_GB2312" w:hint="eastAsia"/>
          <w:sz w:val="32"/>
        </w:rPr>
        <w:t>（一）加强与财政部相关司局之间的沟通联络。专员办要主动加强与财政部相关司局之间的沟通联络，及时了解相关政策制定、资金分配情况及具体监管要求，有针对性地开展财政预算监管工作，努力提升监管质量、效率和效果。</w:t>
      </w:r>
    </w:p>
    <w:p w:rsidR="000F306A" w:rsidRDefault="000F306A">
      <w:pPr>
        <w:spacing w:line="560" w:lineRule="atLeast"/>
        <w:ind w:firstLineChars="200" w:firstLine="664"/>
        <w:rPr>
          <w:rFonts w:ascii="仿宋_GB2312" w:hAnsi="仿宋_GB2312"/>
          <w:sz w:val="32"/>
        </w:rPr>
      </w:pPr>
      <w:r>
        <w:rPr>
          <w:rFonts w:ascii="仿宋_GB2312" w:hAnsi="仿宋_GB2312" w:hint="eastAsia"/>
          <w:sz w:val="32"/>
        </w:rPr>
        <w:t>（二）加强与地方财政部门的沟通联系。按照专员办和省财政厅《关于建立财政监管工作沟通协调机制的通知》（财驻黔监〔2014〕95号）要求，加强</w:t>
      </w:r>
      <w:r>
        <w:rPr>
          <w:rFonts w:ascii="仿宋_GB2312" w:hAnsi="仿宋" w:hint="eastAsia"/>
          <w:sz w:val="32"/>
        </w:rPr>
        <w:t>单位、处室、经办人员层面的沟通协调工作，</w:t>
      </w:r>
      <w:r>
        <w:rPr>
          <w:rFonts w:ascii="仿宋_GB2312" w:hAnsi="仿宋_GB2312" w:hint="eastAsia"/>
          <w:sz w:val="32"/>
        </w:rPr>
        <w:t>切实抓好监管计划沟通衔接、双方联席会议机制、监管信息互通互联、专项工作联合联动等各项工作，加强与市县财政部门联系</w:t>
      </w:r>
      <w:r>
        <w:rPr>
          <w:rFonts w:ascii="仿宋_GB2312" w:hAnsi="仿宋" w:hint="eastAsia"/>
          <w:sz w:val="32"/>
        </w:rPr>
        <w:t>，形成良性互动的监管协调工作机制</w:t>
      </w:r>
      <w:r>
        <w:rPr>
          <w:rFonts w:ascii="仿宋_GB2312" w:hAnsi="仿宋_GB2312" w:hint="eastAsia"/>
          <w:sz w:val="32"/>
        </w:rPr>
        <w:t>。</w:t>
      </w:r>
    </w:p>
    <w:p w:rsidR="000F306A" w:rsidRDefault="000F306A">
      <w:pPr>
        <w:spacing w:line="560" w:lineRule="atLeast"/>
        <w:ind w:firstLineChars="200" w:firstLine="664"/>
        <w:rPr>
          <w:rFonts w:ascii="仿宋_GB2312" w:hAnsi="仿宋_GB2312"/>
          <w:sz w:val="32"/>
        </w:rPr>
      </w:pPr>
      <w:r>
        <w:rPr>
          <w:rFonts w:ascii="仿宋_GB2312" w:hAnsi="仿宋_GB2312" w:hint="eastAsia"/>
          <w:sz w:val="32"/>
        </w:rPr>
        <w:t>（三）加强与中央转移支付资金管理使用部门和单位的沟通联系。</w:t>
      </w:r>
      <w:r>
        <w:rPr>
          <w:rFonts w:ascii="仿宋_GB2312" w:hAnsi="仿宋" w:hint="eastAsia"/>
          <w:sz w:val="32"/>
        </w:rPr>
        <w:t>通过监管专题座谈、政策执行研讨、工作信息抄送、联合督促整改等措施，充分发挥监管合力，形成良性互动的协同监管机制和工作联系机制</w:t>
      </w:r>
      <w:r>
        <w:rPr>
          <w:rFonts w:ascii="仿宋_GB2312" w:hAnsi="仿宋_GB2312" w:hint="eastAsia"/>
          <w:sz w:val="32"/>
        </w:rPr>
        <w:t>。</w:t>
      </w:r>
    </w:p>
    <w:p w:rsidR="000F306A" w:rsidRDefault="000F306A">
      <w:pPr>
        <w:spacing w:line="560" w:lineRule="atLeast"/>
        <w:ind w:firstLineChars="200" w:firstLine="667"/>
        <w:rPr>
          <w:rFonts w:ascii="仿宋_GB2312" w:hAnsi="仿宋_GB2312"/>
          <w:b/>
          <w:sz w:val="32"/>
        </w:rPr>
      </w:pPr>
      <w:r>
        <w:rPr>
          <w:rFonts w:ascii="仿宋_GB2312" w:hAnsi="仿宋_GB2312" w:hint="eastAsia"/>
          <w:b/>
          <w:sz w:val="32"/>
        </w:rPr>
        <w:t xml:space="preserve">第三十三条  </w:t>
      </w:r>
      <w:r>
        <w:rPr>
          <w:rFonts w:ascii="仿宋_GB2312" w:hAnsi="仿宋_GB2312" w:hint="eastAsia"/>
          <w:sz w:val="32"/>
        </w:rPr>
        <w:t>专员办要加强制度建设，强化内控机制。</w:t>
      </w:r>
    </w:p>
    <w:p w:rsidR="000F306A" w:rsidRDefault="000F306A">
      <w:pPr>
        <w:spacing w:line="560" w:lineRule="atLeast"/>
        <w:ind w:firstLineChars="200" w:firstLine="664"/>
        <w:rPr>
          <w:rFonts w:ascii="仿宋_GB2312" w:hAnsi="仿宋_GB2312"/>
          <w:sz w:val="32"/>
        </w:rPr>
      </w:pPr>
      <w:r>
        <w:rPr>
          <w:rFonts w:ascii="仿宋_GB2312" w:hAnsi="仿宋_GB2312" w:hint="eastAsia"/>
          <w:sz w:val="32"/>
        </w:rPr>
        <w:t>（一）建立健全审核监控操作制度。根据财政部规定和审核要求，区别不同类型中央转移支付资金，结合资金使用管理特点和风险防控要求，梳理制定涵盖审核目的、审核职责、审核方式、审核程序、资料报送、成果利用、监督管理等审核要</w:t>
      </w:r>
      <w:r>
        <w:rPr>
          <w:rFonts w:ascii="仿宋_GB2312" w:hAnsi="仿宋_GB2312" w:hint="eastAsia"/>
          <w:sz w:val="32"/>
        </w:rPr>
        <w:lastRenderedPageBreak/>
        <w:t>素的具体操作规程。</w:t>
      </w:r>
      <w:r>
        <w:rPr>
          <w:rFonts w:ascii="仿宋_GB2312" w:hAnsi="仿宋" w:hint="eastAsia"/>
          <w:sz w:val="32"/>
        </w:rPr>
        <w:t>总结提炼</w:t>
      </w:r>
      <w:r>
        <w:rPr>
          <w:rFonts w:ascii="仿宋_GB2312" w:hAnsi="仿宋_GB2312" w:hint="eastAsia"/>
          <w:sz w:val="32"/>
        </w:rPr>
        <w:t>中央转移支付资金全</w:t>
      </w:r>
      <w:r>
        <w:rPr>
          <w:rFonts w:ascii="仿宋_GB2312" w:hAnsi="仿宋" w:hint="eastAsia"/>
          <w:sz w:val="32"/>
        </w:rPr>
        <w:t>过程监管有效做法，形成较为规范的工作流程制度，强化风险点控制，</w:t>
      </w:r>
      <w:r>
        <w:rPr>
          <w:rFonts w:ascii="仿宋_GB2312" w:hAnsi="仿宋_GB2312" w:hint="eastAsia"/>
          <w:sz w:val="32"/>
        </w:rPr>
        <w:t>规范监管实施，提高监管成效。</w:t>
      </w:r>
    </w:p>
    <w:p w:rsidR="000F306A" w:rsidRDefault="000F306A">
      <w:pPr>
        <w:spacing w:line="560" w:lineRule="atLeast"/>
        <w:ind w:firstLineChars="200" w:firstLine="664"/>
        <w:rPr>
          <w:rFonts w:ascii="仿宋_GB2312" w:hAnsi="仿宋"/>
          <w:sz w:val="32"/>
        </w:rPr>
      </w:pPr>
      <w:r>
        <w:rPr>
          <w:rFonts w:ascii="仿宋_GB2312" w:hAnsi="仿宋" w:hint="eastAsia"/>
          <w:sz w:val="32"/>
        </w:rPr>
        <w:t>（二）建立预算执行监控分析报告制度。定期汇总梳理</w:t>
      </w:r>
      <w:r>
        <w:rPr>
          <w:rFonts w:ascii="仿宋_GB2312" w:hAnsi="仿宋_GB2312" w:hint="eastAsia"/>
          <w:sz w:val="32"/>
        </w:rPr>
        <w:t>中央转移支付资金</w:t>
      </w:r>
      <w:r>
        <w:rPr>
          <w:rFonts w:ascii="仿宋_GB2312" w:hAnsi="仿宋" w:hint="eastAsia"/>
          <w:sz w:val="32"/>
        </w:rPr>
        <w:t>预算执行监控采集的数据资料，采用合理有效的分析方法，客观反映资金使用管理和项目实施情况、存在问题和成因，编制上报监控分析报告，便于有关部门及时掌握实施动态，纠正执行偏差，提高支出绩效。</w:t>
      </w:r>
    </w:p>
    <w:p w:rsidR="000F306A" w:rsidRDefault="000F306A">
      <w:pPr>
        <w:pStyle w:val="ListParagraph"/>
        <w:spacing w:line="560" w:lineRule="atLeast"/>
        <w:ind w:firstLine="664"/>
        <w:rPr>
          <w:rFonts w:ascii="仿宋_GB2312" w:hAnsi="仿宋" w:hint="default"/>
          <w:sz w:val="32"/>
        </w:rPr>
      </w:pPr>
      <w:r>
        <w:rPr>
          <w:rFonts w:ascii="仿宋_GB2312" w:hAnsi="仿宋"/>
          <w:sz w:val="32"/>
        </w:rPr>
        <w:t>（三）建立预算执行过程监控情况通气反馈制度。适时组织召开省级相关部门及项目实施单位参加的预算执行过程监控通气会，介绍监管安排、提出工作要求，通报阶段性进度跟踪情况、发现的典型性倾向性问题，以点带面督促整改、纠正执行偏差，对重要问题及时作出风险预警，促进有关部门规范管理和防范风险。</w:t>
      </w:r>
    </w:p>
    <w:p w:rsidR="000F306A" w:rsidRDefault="000F306A">
      <w:pPr>
        <w:spacing w:line="560" w:lineRule="atLeast"/>
        <w:ind w:firstLineChars="200" w:firstLine="667"/>
        <w:rPr>
          <w:rFonts w:ascii="仿宋_GB2312" w:hAnsi="仿宋_GB2312"/>
          <w:b/>
          <w:sz w:val="32"/>
        </w:rPr>
      </w:pPr>
      <w:r>
        <w:rPr>
          <w:rFonts w:ascii="仿宋_GB2312" w:hAnsi="仿宋_GB2312" w:hint="eastAsia"/>
          <w:b/>
          <w:sz w:val="32"/>
        </w:rPr>
        <w:t xml:space="preserve">第三十四条 </w:t>
      </w:r>
      <w:r>
        <w:rPr>
          <w:rFonts w:ascii="仿宋_GB2312" w:hAnsi="仿宋_GB2312" w:hint="eastAsia"/>
          <w:sz w:val="32"/>
        </w:rPr>
        <w:t>专员办要加强信息收集，夯实基础保障。</w:t>
      </w:r>
    </w:p>
    <w:p w:rsidR="000F306A" w:rsidRDefault="000F306A">
      <w:pPr>
        <w:spacing w:line="560" w:lineRule="atLeast"/>
        <w:ind w:firstLineChars="200" w:firstLine="664"/>
        <w:rPr>
          <w:rFonts w:ascii="仿宋_GB2312" w:hAnsi="仿宋"/>
          <w:sz w:val="32"/>
        </w:rPr>
      </w:pPr>
      <w:r>
        <w:rPr>
          <w:rFonts w:ascii="仿宋_GB2312" w:hAnsi="仿宋" w:hint="eastAsia"/>
          <w:sz w:val="32"/>
        </w:rPr>
        <w:t>（一）加快信息化建设。实现专员办与省财政厅之间的信息互联互通，及时传输中央转移支付资金指标分配、下达等文件资料。根据财政部信息化建设进行统筹规划和设计，按照一体化建设思路与原则，实现专员办与相关业务司局信息管理系统的对接。</w:t>
      </w:r>
    </w:p>
    <w:p w:rsidR="000F306A" w:rsidRDefault="000F306A">
      <w:pPr>
        <w:spacing w:line="560" w:lineRule="atLeast"/>
        <w:ind w:firstLineChars="200" w:firstLine="664"/>
        <w:rPr>
          <w:rFonts w:ascii="仿宋_GB2312" w:hAnsi="仿宋"/>
          <w:sz w:val="32"/>
        </w:rPr>
      </w:pPr>
      <w:r>
        <w:rPr>
          <w:rFonts w:ascii="仿宋_GB2312" w:hAnsi="仿宋_GB2312" w:hint="eastAsia"/>
          <w:sz w:val="32"/>
        </w:rPr>
        <w:t>（二）</w:t>
      </w:r>
      <w:r>
        <w:rPr>
          <w:rFonts w:ascii="仿宋_GB2312" w:hAnsi="仿宋" w:hint="eastAsia"/>
          <w:sz w:val="32"/>
        </w:rPr>
        <w:t>建立基础监管资料数据平台。</w:t>
      </w:r>
      <w:r>
        <w:rPr>
          <w:rFonts w:ascii="仿宋_GB2312" w:hAnsi="仿宋_GB2312" w:hint="eastAsia"/>
          <w:sz w:val="32"/>
        </w:rPr>
        <w:t>专员办要</w:t>
      </w:r>
      <w:r>
        <w:rPr>
          <w:rFonts w:ascii="仿宋_GB2312" w:hAnsi="仿宋" w:hint="eastAsia"/>
          <w:sz w:val="32"/>
        </w:rPr>
        <w:t>优化完善中央转移支付资金监管台账的栏次设置和筛选功能，提高信息聚</w:t>
      </w:r>
      <w:r>
        <w:rPr>
          <w:rFonts w:ascii="仿宋_GB2312" w:hAnsi="仿宋" w:hint="eastAsia"/>
          <w:sz w:val="32"/>
        </w:rPr>
        <w:lastRenderedPageBreak/>
        <w:t>合度和实用性。要加强支出预算监管法规库建设，编制监管要点指引，及时进行动态更新，总体实现“分类科学、更新及时、查询便捷”的功能效果。</w:t>
      </w:r>
    </w:p>
    <w:p w:rsidR="000F306A" w:rsidRDefault="000F306A">
      <w:pPr>
        <w:pStyle w:val="ListParagraph"/>
        <w:spacing w:line="560" w:lineRule="atLeast"/>
        <w:ind w:firstLine="664"/>
        <w:rPr>
          <w:rFonts w:ascii="仿宋_GB2312" w:hAnsi="仿宋" w:hint="default"/>
          <w:sz w:val="32"/>
        </w:rPr>
      </w:pPr>
    </w:p>
    <w:p w:rsidR="000F306A" w:rsidRDefault="000F306A">
      <w:pPr>
        <w:spacing w:line="560" w:lineRule="atLeast"/>
        <w:jc w:val="center"/>
        <w:rPr>
          <w:rFonts w:ascii="仿宋_GB2312"/>
          <w:b/>
          <w:sz w:val="32"/>
        </w:rPr>
      </w:pPr>
      <w:r>
        <w:rPr>
          <w:rFonts w:ascii="仿宋_GB2312" w:hint="eastAsia"/>
          <w:b/>
          <w:sz w:val="32"/>
        </w:rPr>
        <w:t>第六章 附则</w:t>
      </w:r>
    </w:p>
    <w:p w:rsidR="000F306A" w:rsidRDefault="000F306A">
      <w:pPr>
        <w:spacing w:line="560" w:lineRule="atLeast"/>
        <w:rPr>
          <w:rFonts w:ascii="仿宋_GB2312"/>
          <w:b/>
          <w:sz w:val="32"/>
        </w:rPr>
      </w:pPr>
    </w:p>
    <w:p w:rsidR="000F306A" w:rsidRDefault="000F306A">
      <w:pPr>
        <w:pStyle w:val="ListParagraph"/>
        <w:spacing w:line="560" w:lineRule="atLeast"/>
        <w:ind w:firstLine="667"/>
        <w:rPr>
          <w:rFonts w:ascii="仿宋_GB2312" w:hAnsi="仿宋"/>
          <w:sz w:val="32"/>
        </w:rPr>
      </w:pPr>
      <w:r>
        <w:rPr>
          <w:rFonts w:ascii="仿宋_GB2312" w:hAnsi="仿宋"/>
          <w:b/>
          <w:sz w:val="32"/>
        </w:rPr>
        <w:t xml:space="preserve">第三十五条 </w:t>
      </w:r>
      <w:r>
        <w:rPr>
          <w:rFonts w:ascii="仿宋_GB2312" w:hAnsi="仿宋"/>
          <w:sz w:val="32"/>
        </w:rPr>
        <w:t xml:space="preserve"> 本办法从印发之日起实施。</w:t>
      </w:r>
    </w:p>
    <w:p w:rsidR="000F306A" w:rsidRDefault="000F306A">
      <w:pPr>
        <w:pStyle w:val="ListParagraph"/>
        <w:spacing w:line="480" w:lineRule="auto"/>
        <w:ind w:firstLineChars="0" w:firstLine="0"/>
        <w:jc w:val="left"/>
        <w:rPr>
          <w:rFonts w:ascii="仿宋_GB2312" w:hAnsi="仿宋_GB2312"/>
          <w:sz w:val="32"/>
        </w:rPr>
      </w:pPr>
    </w:p>
    <w:p w:rsidR="000F306A" w:rsidRDefault="000F306A">
      <w:pPr>
        <w:pStyle w:val="ListParagraph"/>
        <w:spacing w:line="480" w:lineRule="auto"/>
        <w:ind w:firstLineChars="0" w:firstLine="0"/>
        <w:jc w:val="left"/>
        <w:rPr>
          <w:rFonts w:ascii="仿宋_GB2312" w:hAnsi="仿宋_GB2312"/>
          <w:sz w:val="32"/>
        </w:rPr>
      </w:pPr>
    </w:p>
    <w:p w:rsidR="000F306A" w:rsidRDefault="000F306A">
      <w:pPr>
        <w:pStyle w:val="ListParagraph"/>
        <w:spacing w:line="480" w:lineRule="auto"/>
        <w:ind w:firstLineChars="0" w:firstLine="0"/>
        <w:jc w:val="left"/>
        <w:rPr>
          <w:rFonts w:ascii="仿宋_GB2312" w:hAnsi="仿宋_GB2312"/>
          <w:sz w:val="32"/>
        </w:rPr>
      </w:pPr>
    </w:p>
    <w:p w:rsidR="000F306A" w:rsidRDefault="000F306A">
      <w:pPr>
        <w:pStyle w:val="ListParagraph"/>
        <w:spacing w:line="480" w:lineRule="auto"/>
        <w:ind w:firstLineChars="0" w:firstLine="0"/>
        <w:jc w:val="left"/>
        <w:rPr>
          <w:rFonts w:ascii="仿宋_GB2312" w:hAnsi="仿宋_GB2312"/>
          <w:sz w:val="32"/>
        </w:rPr>
      </w:pPr>
    </w:p>
    <w:p w:rsidR="000F306A" w:rsidRDefault="000F306A">
      <w:pPr>
        <w:pStyle w:val="ListParagraph"/>
        <w:spacing w:line="480" w:lineRule="auto"/>
        <w:ind w:firstLineChars="0" w:firstLine="0"/>
        <w:jc w:val="left"/>
        <w:rPr>
          <w:rFonts w:ascii="仿宋_GB2312" w:hAnsi="仿宋_GB2312"/>
          <w:sz w:val="32"/>
        </w:rPr>
      </w:pPr>
    </w:p>
    <w:p w:rsidR="000F306A" w:rsidRDefault="000F306A">
      <w:pPr>
        <w:pStyle w:val="ListParagraph"/>
        <w:spacing w:line="480" w:lineRule="auto"/>
        <w:ind w:firstLineChars="0" w:firstLine="0"/>
        <w:jc w:val="left"/>
        <w:rPr>
          <w:rFonts w:ascii="仿宋_GB2312" w:hAnsi="仿宋_GB2312"/>
          <w:sz w:val="32"/>
        </w:rPr>
      </w:pPr>
    </w:p>
    <w:p w:rsidR="000F306A" w:rsidRDefault="000F306A">
      <w:pPr>
        <w:pStyle w:val="ListParagraph"/>
        <w:spacing w:line="480" w:lineRule="auto"/>
        <w:ind w:firstLineChars="0" w:firstLine="0"/>
        <w:jc w:val="left"/>
        <w:rPr>
          <w:rFonts w:ascii="仿宋_GB2312" w:hAnsi="仿宋_GB2312"/>
          <w:sz w:val="32"/>
        </w:rPr>
      </w:pPr>
    </w:p>
    <w:p w:rsidR="000F306A" w:rsidRDefault="000F306A">
      <w:pPr>
        <w:pStyle w:val="ListParagraph"/>
        <w:spacing w:line="480" w:lineRule="auto"/>
        <w:ind w:firstLineChars="0" w:firstLine="0"/>
        <w:jc w:val="left"/>
        <w:rPr>
          <w:rFonts w:ascii="仿宋_GB2312" w:hAnsi="仿宋_GB2312"/>
          <w:sz w:val="32"/>
        </w:rPr>
      </w:pPr>
    </w:p>
    <w:p w:rsidR="000F306A" w:rsidRDefault="000F306A">
      <w:pPr>
        <w:pStyle w:val="ListParagraph"/>
        <w:spacing w:line="480" w:lineRule="auto"/>
        <w:ind w:firstLineChars="0" w:firstLine="0"/>
        <w:jc w:val="left"/>
        <w:rPr>
          <w:rFonts w:ascii="仿宋_GB2312" w:hAnsi="仿宋_GB2312"/>
          <w:sz w:val="32"/>
        </w:rPr>
      </w:pPr>
    </w:p>
    <w:p w:rsidR="000F306A" w:rsidRDefault="000F306A">
      <w:pPr>
        <w:pStyle w:val="ListParagraph"/>
        <w:spacing w:line="480" w:lineRule="auto"/>
        <w:ind w:firstLineChars="0" w:firstLine="0"/>
        <w:jc w:val="left"/>
        <w:rPr>
          <w:rFonts w:ascii="仿宋_GB2312" w:hAnsi="仿宋_GB2312"/>
          <w:sz w:val="32"/>
        </w:rPr>
      </w:pPr>
    </w:p>
    <w:p w:rsidR="00230548" w:rsidRDefault="00230548">
      <w:pPr>
        <w:pStyle w:val="ListParagraph"/>
        <w:spacing w:line="480" w:lineRule="auto"/>
        <w:ind w:firstLineChars="0" w:firstLine="0"/>
        <w:jc w:val="left"/>
        <w:rPr>
          <w:rFonts w:ascii="仿宋_GB2312" w:hAnsi="仿宋_GB2312"/>
          <w:sz w:val="32"/>
        </w:rPr>
      </w:pPr>
    </w:p>
    <w:p w:rsidR="000F306A" w:rsidRDefault="000F306A">
      <w:pPr>
        <w:pStyle w:val="ListParagraph"/>
        <w:spacing w:line="480" w:lineRule="auto"/>
        <w:ind w:firstLineChars="0" w:firstLine="0"/>
        <w:jc w:val="left"/>
        <w:rPr>
          <w:rFonts w:ascii="仿宋_GB2312" w:hAnsi="仿宋_GB2312" w:hint="default"/>
          <w:sz w:val="32"/>
        </w:rPr>
      </w:pPr>
      <w:r>
        <w:rPr>
          <w:rFonts w:ascii="仿宋_GB2312" w:hAnsi="仿宋_GB2312"/>
          <w:sz w:val="32"/>
        </w:rPr>
        <w:lastRenderedPageBreak/>
        <w:t>附件1</w:t>
      </w:r>
    </w:p>
    <w:p w:rsidR="000F306A" w:rsidRDefault="000F306A">
      <w:pPr>
        <w:pStyle w:val="ListParagraph"/>
        <w:spacing w:line="240" w:lineRule="auto"/>
        <w:ind w:firstLineChars="0" w:firstLine="0"/>
        <w:jc w:val="center"/>
        <w:rPr>
          <w:rFonts w:ascii="方正小标宋简体" w:eastAsia="方正小标宋简体" w:hAnsi="宋体"/>
          <w:b/>
          <w:color w:val="000000"/>
          <w:kern w:val="0"/>
          <w:sz w:val="36"/>
        </w:rPr>
      </w:pPr>
      <w:r>
        <w:rPr>
          <w:rFonts w:ascii="方正小标宋简体" w:eastAsia="方正小标宋简体" w:hAnsi="宋体"/>
          <w:b/>
          <w:color w:val="000000"/>
          <w:kern w:val="0"/>
          <w:sz w:val="36"/>
        </w:rPr>
        <w:t>财政部驻贵州省财政监察专员办事处</w:t>
      </w:r>
    </w:p>
    <w:p w:rsidR="000F306A" w:rsidRDefault="000F306A">
      <w:pPr>
        <w:pStyle w:val="ListParagraph"/>
        <w:spacing w:line="240" w:lineRule="auto"/>
        <w:ind w:firstLineChars="0" w:firstLine="0"/>
        <w:jc w:val="center"/>
        <w:rPr>
          <w:rFonts w:ascii="仿宋_GB2312" w:hAnsi="仿宋_GB2312" w:hint="default"/>
          <w:color w:val="FF0000"/>
          <w:sz w:val="32"/>
        </w:rPr>
      </w:pPr>
      <w:r>
        <w:rPr>
          <w:rFonts w:ascii="方正小标宋简体" w:eastAsia="方正小标宋简体" w:hAnsi="宋体"/>
          <w:b/>
          <w:color w:val="000000"/>
          <w:kern w:val="0"/>
          <w:sz w:val="36"/>
        </w:rPr>
        <w:t>中央转移支付资金预算监管过程记录</w:t>
      </w:r>
    </w:p>
    <w:tbl>
      <w:tblPr>
        <w:tblW w:w="0" w:type="auto"/>
        <w:tblInd w:w="11" w:type="dxa"/>
        <w:tblLayout w:type="fixed"/>
        <w:tblLook w:val="0000"/>
      </w:tblPr>
      <w:tblGrid>
        <w:gridCol w:w="120"/>
        <w:gridCol w:w="1650"/>
        <w:gridCol w:w="3015"/>
        <w:gridCol w:w="4155"/>
        <w:gridCol w:w="105"/>
      </w:tblGrid>
      <w:tr w:rsidR="000F306A">
        <w:trPr>
          <w:trHeight w:val="285"/>
        </w:trPr>
        <w:tc>
          <w:tcPr>
            <w:tcW w:w="1770" w:type="dxa"/>
            <w:gridSpan w:val="2"/>
            <w:tcBorders>
              <w:top w:val="single" w:sz="4" w:space="0" w:color="000000"/>
              <w:left w:val="single" w:sz="4" w:space="0" w:color="000000"/>
              <w:bottom w:val="single" w:sz="4" w:space="0" w:color="000000"/>
              <w:right w:val="single" w:sz="4" w:space="0" w:color="000000"/>
            </w:tcBorders>
            <w:vAlign w:val="center"/>
          </w:tcPr>
          <w:p w:rsidR="000F306A" w:rsidRDefault="000F306A">
            <w:pPr>
              <w:autoSpaceDE/>
              <w:jc w:val="center"/>
              <w:textAlignment w:val="center"/>
              <w:rPr>
                <w:rFonts w:eastAsia="宋体"/>
                <w:color w:val="000000"/>
                <w:sz w:val="24"/>
              </w:rPr>
            </w:pPr>
            <w:r>
              <w:rPr>
                <w:rFonts w:eastAsia="宋体"/>
                <w:color w:val="000000"/>
                <w:sz w:val="24"/>
              </w:rPr>
              <w:t>监控事项名称</w:t>
            </w:r>
          </w:p>
        </w:tc>
        <w:tc>
          <w:tcPr>
            <w:tcW w:w="7275" w:type="dxa"/>
            <w:gridSpan w:val="3"/>
            <w:tcBorders>
              <w:top w:val="single" w:sz="4" w:space="0" w:color="000000"/>
              <w:left w:val="single" w:sz="4" w:space="0" w:color="000000"/>
              <w:bottom w:val="single" w:sz="4" w:space="0" w:color="000000"/>
              <w:right w:val="single" w:sz="4" w:space="0" w:color="000000"/>
            </w:tcBorders>
            <w:vAlign w:val="center"/>
          </w:tcPr>
          <w:p w:rsidR="000F306A" w:rsidRDefault="000F306A">
            <w:pPr>
              <w:autoSpaceDE/>
              <w:jc w:val="left"/>
              <w:textAlignment w:val="center"/>
              <w:rPr>
                <w:rFonts w:eastAsia="宋体"/>
                <w:color w:val="000000"/>
                <w:sz w:val="24"/>
              </w:rPr>
            </w:pPr>
          </w:p>
        </w:tc>
      </w:tr>
      <w:tr w:rsidR="000F306A">
        <w:trPr>
          <w:trHeight w:val="285"/>
        </w:trPr>
        <w:tc>
          <w:tcPr>
            <w:tcW w:w="1770" w:type="dxa"/>
            <w:gridSpan w:val="2"/>
            <w:tcBorders>
              <w:top w:val="single" w:sz="4" w:space="0" w:color="000000"/>
              <w:left w:val="single" w:sz="4" w:space="0" w:color="000000"/>
              <w:bottom w:val="single" w:sz="4" w:space="0" w:color="000000"/>
              <w:right w:val="single" w:sz="4" w:space="0" w:color="000000"/>
            </w:tcBorders>
            <w:vAlign w:val="center"/>
          </w:tcPr>
          <w:p w:rsidR="000F306A" w:rsidRDefault="000F306A">
            <w:pPr>
              <w:autoSpaceDE/>
              <w:jc w:val="center"/>
              <w:textAlignment w:val="center"/>
              <w:rPr>
                <w:rFonts w:eastAsia="宋体"/>
                <w:color w:val="000000"/>
                <w:sz w:val="24"/>
              </w:rPr>
            </w:pPr>
            <w:r>
              <w:rPr>
                <w:rFonts w:eastAsia="宋体"/>
                <w:color w:val="000000"/>
                <w:sz w:val="24"/>
              </w:rPr>
              <w:t>预算支出类型</w:t>
            </w:r>
          </w:p>
        </w:tc>
        <w:tc>
          <w:tcPr>
            <w:tcW w:w="7275" w:type="dxa"/>
            <w:gridSpan w:val="3"/>
            <w:tcBorders>
              <w:top w:val="single" w:sz="4" w:space="0" w:color="000000"/>
              <w:left w:val="single" w:sz="4" w:space="0" w:color="000000"/>
              <w:bottom w:val="single" w:sz="4" w:space="0" w:color="000000"/>
              <w:right w:val="single" w:sz="4" w:space="0" w:color="000000"/>
            </w:tcBorders>
            <w:vAlign w:val="center"/>
          </w:tcPr>
          <w:p w:rsidR="000F306A" w:rsidRDefault="000F306A">
            <w:pPr>
              <w:autoSpaceDE/>
              <w:jc w:val="left"/>
              <w:textAlignment w:val="center"/>
              <w:rPr>
                <w:rFonts w:eastAsia="宋体"/>
                <w:color w:val="000000"/>
                <w:sz w:val="24"/>
              </w:rPr>
            </w:pPr>
          </w:p>
        </w:tc>
      </w:tr>
      <w:tr w:rsidR="000F306A">
        <w:trPr>
          <w:trHeight w:val="285"/>
        </w:trPr>
        <w:tc>
          <w:tcPr>
            <w:tcW w:w="1770" w:type="dxa"/>
            <w:gridSpan w:val="2"/>
            <w:tcBorders>
              <w:top w:val="single" w:sz="4" w:space="0" w:color="000000"/>
              <w:left w:val="single" w:sz="4" w:space="0" w:color="000000"/>
              <w:bottom w:val="single" w:sz="4" w:space="0" w:color="000000"/>
              <w:right w:val="single" w:sz="4" w:space="0" w:color="000000"/>
            </w:tcBorders>
            <w:vAlign w:val="center"/>
          </w:tcPr>
          <w:p w:rsidR="000F306A" w:rsidRDefault="000F306A">
            <w:pPr>
              <w:autoSpaceDE/>
              <w:jc w:val="center"/>
              <w:textAlignment w:val="center"/>
              <w:rPr>
                <w:rFonts w:eastAsia="宋体"/>
                <w:color w:val="000000"/>
                <w:sz w:val="24"/>
              </w:rPr>
            </w:pPr>
            <w:r>
              <w:rPr>
                <w:rFonts w:eastAsia="宋体"/>
                <w:color w:val="000000"/>
                <w:sz w:val="24"/>
              </w:rPr>
              <w:t>单　位</w:t>
            </w:r>
          </w:p>
        </w:tc>
        <w:tc>
          <w:tcPr>
            <w:tcW w:w="7275" w:type="dxa"/>
            <w:gridSpan w:val="3"/>
            <w:tcBorders>
              <w:top w:val="single" w:sz="4" w:space="0" w:color="000000"/>
              <w:left w:val="single" w:sz="4" w:space="0" w:color="000000"/>
              <w:bottom w:val="single" w:sz="4" w:space="0" w:color="000000"/>
              <w:right w:val="single" w:sz="4" w:space="0" w:color="000000"/>
            </w:tcBorders>
            <w:vAlign w:val="center"/>
          </w:tcPr>
          <w:p w:rsidR="000F306A" w:rsidRDefault="000F306A">
            <w:pPr>
              <w:autoSpaceDE/>
              <w:jc w:val="left"/>
              <w:textAlignment w:val="center"/>
              <w:rPr>
                <w:rFonts w:eastAsia="宋体"/>
                <w:color w:val="000000"/>
                <w:sz w:val="24"/>
              </w:rPr>
            </w:pPr>
          </w:p>
        </w:tc>
      </w:tr>
      <w:tr w:rsidR="000F306A">
        <w:trPr>
          <w:trHeight w:val="285"/>
        </w:trPr>
        <w:tc>
          <w:tcPr>
            <w:tcW w:w="1770" w:type="dxa"/>
            <w:gridSpan w:val="2"/>
            <w:tcBorders>
              <w:top w:val="single" w:sz="4" w:space="0" w:color="000000"/>
              <w:left w:val="single" w:sz="4" w:space="0" w:color="000000"/>
              <w:bottom w:val="single" w:sz="4" w:space="0" w:color="000000"/>
              <w:right w:val="single" w:sz="4" w:space="0" w:color="000000"/>
            </w:tcBorders>
            <w:vAlign w:val="center"/>
          </w:tcPr>
          <w:p w:rsidR="000F306A" w:rsidRDefault="000F306A">
            <w:pPr>
              <w:autoSpaceDE/>
              <w:jc w:val="center"/>
              <w:textAlignment w:val="center"/>
              <w:rPr>
                <w:rFonts w:eastAsia="宋体"/>
                <w:color w:val="000000"/>
                <w:sz w:val="24"/>
              </w:rPr>
            </w:pPr>
            <w:r>
              <w:rPr>
                <w:rFonts w:eastAsia="宋体"/>
                <w:color w:val="000000"/>
                <w:sz w:val="24"/>
              </w:rPr>
              <w:t>监控目标</w:t>
            </w:r>
          </w:p>
        </w:tc>
        <w:tc>
          <w:tcPr>
            <w:tcW w:w="7275" w:type="dxa"/>
            <w:gridSpan w:val="3"/>
            <w:tcBorders>
              <w:top w:val="single" w:sz="4" w:space="0" w:color="000000"/>
              <w:left w:val="single" w:sz="4" w:space="0" w:color="000000"/>
              <w:bottom w:val="single" w:sz="4" w:space="0" w:color="000000"/>
              <w:right w:val="single" w:sz="4" w:space="0" w:color="000000"/>
            </w:tcBorders>
            <w:vAlign w:val="center"/>
          </w:tcPr>
          <w:p w:rsidR="000F306A" w:rsidRDefault="000F306A">
            <w:pPr>
              <w:autoSpaceDE/>
              <w:jc w:val="center"/>
              <w:textAlignment w:val="center"/>
              <w:rPr>
                <w:rFonts w:eastAsia="宋体"/>
                <w:color w:val="000000"/>
                <w:sz w:val="24"/>
              </w:rPr>
            </w:pPr>
          </w:p>
        </w:tc>
      </w:tr>
      <w:tr w:rsidR="000F306A">
        <w:trPr>
          <w:trHeight w:val="588"/>
        </w:trPr>
        <w:tc>
          <w:tcPr>
            <w:tcW w:w="1770" w:type="dxa"/>
            <w:gridSpan w:val="2"/>
            <w:vMerge w:val="restart"/>
            <w:tcBorders>
              <w:top w:val="single" w:sz="4" w:space="0" w:color="000000"/>
              <w:left w:val="single" w:sz="4" w:space="0" w:color="000000"/>
              <w:bottom w:val="single" w:sz="4" w:space="0" w:color="000000"/>
              <w:right w:val="single" w:sz="4" w:space="0" w:color="000000"/>
            </w:tcBorders>
            <w:vAlign w:val="center"/>
          </w:tcPr>
          <w:p w:rsidR="000F306A" w:rsidRDefault="000F306A">
            <w:pPr>
              <w:autoSpaceDE/>
              <w:spacing w:line="520" w:lineRule="exact"/>
              <w:jc w:val="center"/>
              <w:textAlignment w:val="center"/>
              <w:rPr>
                <w:rFonts w:eastAsia="宋体"/>
                <w:color w:val="000000"/>
                <w:sz w:val="24"/>
              </w:rPr>
            </w:pPr>
            <w:r>
              <w:rPr>
                <w:rFonts w:eastAsia="宋体"/>
                <w:color w:val="000000"/>
                <w:sz w:val="24"/>
              </w:rPr>
              <w:t>基本情况</w:t>
            </w:r>
          </w:p>
        </w:tc>
        <w:tc>
          <w:tcPr>
            <w:tcW w:w="7275" w:type="dxa"/>
            <w:gridSpan w:val="3"/>
            <w:vMerge w:val="restart"/>
            <w:tcBorders>
              <w:top w:val="single" w:sz="4" w:space="0" w:color="000000"/>
              <w:left w:val="single" w:sz="4" w:space="0" w:color="000000"/>
              <w:bottom w:val="single" w:sz="4" w:space="0" w:color="000000"/>
              <w:right w:val="single" w:sz="4" w:space="0" w:color="000000"/>
            </w:tcBorders>
            <w:vAlign w:val="center"/>
          </w:tcPr>
          <w:p w:rsidR="000F306A" w:rsidRDefault="000F306A">
            <w:pPr>
              <w:autoSpaceDE/>
              <w:jc w:val="center"/>
              <w:textAlignment w:val="center"/>
              <w:rPr>
                <w:rFonts w:eastAsia="宋体"/>
                <w:color w:val="000000"/>
                <w:sz w:val="24"/>
              </w:rPr>
            </w:pPr>
            <w:r>
              <w:rPr>
                <w:rFonts w:eastAsia="宋体"/>
                <w:color w:val="000000"/>
                <w:sz w:val="24"/>
              </w:rPr>
              <w:t>概述被监控事项所涉及单位及事项基本概况、有效做法和经验等</w:t>
            </w:r>
          </w:p>
        </w:tc>
      </w:tr>
      <w:tr w:rsidR="000F306A">
        <w:trPr>
          <w:trHeight w:val="588"/>
        </w:trPr>
        <w:tc>
          <w:tcPr>
            <w:tcW w:w="1770" w:type="dxa"/>
            <w:gridSpan w:val="2"/>
            <w:vMerge/>
            <w:tcBorders>
              <w:top w:val="single" w:sz="4" w:space="0" w:color="000000"/>
              <w:left w:val="single" w:sz="4" w:space="0" w:color="000000"/>
              <w:bottom w:val="single" w:sz="4" w:space="0" w:color="000000"/>
              <w:right w:val="single" w:sz="4" w:space="0" w:color="000000"/>
            </w:tcBorders>
            <w:vAlign w:val="center"/>
          </w:tcPr>
          <w:p w:rsidR="000F306A" w:rsidRDefault="000F306A">
            <w:pPr>
              <w:autoSpaceDE/>
              <w:spacing w:line="520" w:lineRule="exact"/>
              <w:rPr>
                <w:sz w:val="21"/>
              </w:rPr>
            </w:pPr>
          </w:p>
        </w:tc>
        <w:tc>
          <w:tcPr>
            <w:tcW w:w="7275" w:type="dxa"/>
            <w:gridSpan w:val="3"/>
            <w:vMerge/>
            <w:tcBorders>
              <w:top w:val="single" w:sz="4" w:space="0" w:color="000000"/>
              <w:left w:val="single" w:sz="4" w:space="0" w:color="000000"/>
              <w:bottom w:val="single" w:sz="4" w:space="0" w:color="000000"/>
              <w:right w:val="single" w:sz="4" w:space="0" w:color="000000"/>
            </w:tcBorders>
            <w:vAlign w:val="center"/>
          </w:tcPr>
          <w:p w:rsidR="000F306A" w:rsidRDefault="000F306A">
            <w:pPr>
              <w:autoSpaceDE/>
              <w:rPr>
                <w:sz w:val="21"/>
              </w:rPr>
            </w:pPr>
          </w:p>
        </w:tc>
      </w:tr>
      <w:tr w:rsidR="000F306A">
        <w:trPr>
          <w:trHeight w:val="520"/>
        </w:trPr>
        <w:tc>
          <w:tcPr>
            <w:tcW w:w="1770" w:type="dxa"/>
            <w:gridSpan w:val="2"/>
            <w:vMerge/>
            <w:tcBorders>
              <w:top w:val="single" w:sz="4" w:space="0" w:color="000000"/>
              <w:left w:val="single" w:sz="4" w:space="0" w:color="000000"/>
              <w:bottom w:val="single" w:sz="4" w:space="0" w:color="000000"/>
              <w:right w:val="single" w:sz="4" w:space="0" w:color="000000"/>
            </w:tcBorders>
            <w:vAlign w:val="center"/>
          </w:tcPr>
          <w:p w:rsidR="000F306A" w:rsidRDefault="000F306A">
            <w:pPr>
              <w:autoSpaceDE/>
              <w:spacing w:line="520" w:lineRule="exact"/>
              <w:rPr>
                <w:sz w:val="21"/>
              </w:rPr>
            </w:pPr>
          </w:p>
        </w:tc>
        <w:tc>
          <w:tcPr>
            <w:tcW w:w="7275" w:type="dxa"/>
            <w:gridSpan w:val="3"/>
            <w:vMerge/>
            <w:tcBorders>
              <w:top w:val="single" w:sz="4" w:space="0" w:color="000000"/>
              <w:left w:val="single" w:sz="4" w:space="0" w:color="000000"/>
              <w:bottom w:val="single" w:sz="4" w:space="0" w:color="000000"/>
              <w:right w:val="single" w:sz="4" w:space="0" w:color="000000"/>
            </w:tcBorders>
            <w:vAlign w:val="center"/>
          </w:tcPr>
          <w:p w:rsidR="000F306A" w:rsidRDefault="000F306A">
            <w:pPr>
              <w:autoSpaceDE/>
              <w:rPr>
                <w:sz w:val="21"/>
              </w:rPr>
            </w:pPr>
          </w:p>
        </w:tc>
      </w:tr>
      <w:tr w:rsidR="000F306A">
        <w:trPr>
          <w:trHeight w:val="836"/>
        </w:trPr>
        <w:tc>
          <w:tcPr>
            <w:tcW w:w="1770" w:type="dxa"/>
            <w:gridSpan w:val="2"/>
            <w:tcBorders>
              <w:top w:val="single" w:sz="4" w:space="0" w:color="000000"/>
              <w:left w:val="single" w:sz="4" w:space="0" w:color="000000"/>
              <w:bottom w:val="single" w:sz="4" w:space="0" w:color="000000"/>
              <w:right w:val="single" w:sz="4" w:space="0" w:color="000000"/>
            </w:tcBorders>
            <w:vAlign w:val="center"/>
          </w:tcPr>
          <w:p w:rsidR="000F306A" w:rsidRDefault="000F306A">
            <w:pPr>
              <w:autoSpaceDE/>
              <w:spacing w:line="520" w:lineRule="exact"/>
              <w:jc w:val="center"/>
              <w:textAlignment w:val="center"/>
              <w:rPr>
                <w:rFonts w:eastAsia="宋体"/>
                <w:color w:val="000000"/>
                <w:sz w:val="24"/>
              </w:rPr>
            </w:pPr>
            <w:r>
              <w:rPr>
                <w:rFonts w:eastAsia="宋体"/>
                <w:color w:val="000000"/>
                <w:sz w:val="24"/>
              </w:rPr>
              <w:t>核实情况或　　存在问题</w:t>
            </w:r>
          </w:p>
        </w:tc>
        <w:tc>
          <w:tcPr>
            <w:tcW w:w="7275" w:type="dxa"/>
            <w:gridSpan w:val="3"/>
            <w:tcBorders>
              <w:top w:val="single" w:sz="4" w:space="0" w:color="000000"/>
              <w:left w:val="single" w:sz="4" w:space="0" w:color="000000"/>
              <w:bottom w:val="single" w:sz="4" w:space="0" w:color="000000"/>
              <w:right w:val="single" w:sz="4" w:space="0" w:color="000000"/>
            </w:tcBorders>
            <w:vAlign w:val="center"/>
          </w:tcPr>
          <w:p w:rsidR="000F306A" w:rsidRDefault="000F306A">
            <w:pPr>
              <w:autoSpaceDE/>
              <w:jc w:val="center"/>
              <w:textAlignment w:val="center"/>
              <w:rPr>
                <w:rFonts w:eastAsia="宋体"/>
                <w:color w:val="000000"/>
                <w:sz w:val="24"/>
              </w:rPr>
            </w:pPr>
          </w:p>
        </w:tc>
      </w:tr>
      <w:tr w:rsidR="000F306A">
        <w:trPr>
          <w:trHeight w:val="956"/>
        </w:trPr>
        <w:tc>
          <w:tcPr>
            <w:tcW w:w="1770" w:type="dxa"/>
            <w:gridSpan w:val="2"/>
            <w:tcBorders>
              <w:top w:val="single" w:sz="4" w:space="0" w:color="000000"/>
              <w:left w:val="single" w:sz="4" w:space="0" w:color="000000"/>
              <w:bottom w:val="single" w:sz="4" w:space="0" w:color="000000"/>
              <w:right w:val="single" w:sz="4" w:space="0" w:color="000000"/>
            </w:tcBorders>
            <w:vAlign w:val="center"/>
          </w:tcPr>
          <w:p w:rsidR="000F306A" w:rsidRDefault="000F306A">
            <w:pPr>
              <w:autoSpaceDE/>
              <w:spacing w:line="520" w:lineRule="exact"/>
              <w:jc w:val="center"/>
              <w:textAlignment w:val="center"/>
              <w:rPr>
                <w:rFonts w:eastAsia="宋体"/>
                <w:color w:val="000000"/>
                <w:sz w:val="24"/>
              </w:rPr>
            </w:pPr>
            <w:r>
              <w:rPr>
                <w:rFonts w:eastAsia="宋体"/>
                <w:color w:val="000000"/>
                <w:sz w:val="24"/>
              </w:rPr>
              <w:t>初步意见     （建议）</w:t>
            </w:r>
          </w:p>
        </w:tc>
        <w:tc>
          <w:tcPr>
            <w:tcW w:w="7275" w:type="dxa"/>
            <w:gridSpan w:val="3"/>
            <w:tcBorders>
              <w:top w:val="single" w:sz="4" w:space="0" w:color="000000"/>
              <w:left w:val="single" w:sz="4" w:space="0" w:color="000000"/>
              <w:bottom w:val="single" w:sz="4" w:space="0" w:color="000000"/>
              <w:right w:val="single" w:sz="4" w:space="0" w:color="000000"/>
            </w:tcBorders>
            <w:vAlign w:val="center"/>
          </w:tcPr>
          <w:p w:rsidR="000F306A" w:rsidRDefault="000F306A">
            <w:pPr>
              <w:autoSpaceDE/>
              <w:jc w:val="center"/>
              <w:textAlignment w:val="center"/>
              <w:rPr>
                <w:rFonts w:eastAsia="宋体"/>
                <w:color w:val="000000"/>
                <w:sz w:val="24"/>
              </w:rPr>
            </w:pPr>
          </w:p>
        </w:tc>
      </w:tr>
      <w:tr w:rsidR="000F306A">
        <w:trPr>
          <w:trHeight w:val="438"/>
        </w:trPr>
        <w:tc>
          <w:tcPr>
            <w:tcW w:w="1770" w:type="dxa"/>
            <w:gridSpan w:val="2"/>
            <w:tcBorders>
              <w:top w:val="single" w:sz="4" w:space="0" w:color="000000"/>
              <w:left w:val="single" w:sz="4" w:space="0" w:color="000000"/>
              <w:bottom w:val="single" w:sz="4" w:space="0" w:color="000000"/>
              <w:right w:val="single" w:sz="4" w:space="0" w:color="000000"/>
            </w:tcBorders>
            <w:vAlign w:val="center"/>
          </w:tcPr>
          <w:p w:rsidR="000F306A" w:rsidRDefault="000F306A">
            <w:pPr>
              <w:autoSpaceDE/>
              <w:jc w:val="center"/>
              <w:textAlignment w:val="center"/>
              <w:rPr>
                <w:rFonts w:eastAsia="宋体"/>
                <w:color w:val="000000"/>
                <w:sz w:val="24"/>
              </w:rPr>
            </w:pPr>
            <w:r>
              <w:rPr>
                <w:rFonts w:eastAsia="宋体"/>
                <w:color w:val="000000"/>
                <w:sz w:val="24"/>
              </w:rPr>
              <w:t>单位意见</w:t>
            </w:r>
          </w:p>
        </w:tc>
        <w:tc>
          <w:tcPr>
            <w:tcW w:w="7275" w:type="dxa"/>
            <w:gridSpan w:val="3"/>
            <w:tcBorders>
              <w:top w:val="single" w:sz="4" w:space="0" w:color="000000"/>
              <w:left w:val="single" w:sz="4" w:space="0" w:color="000000"/>
              <w:bottom w:val="single" w:sz="4" w:space="0" w:color="000000"/>
              <w:right w:val="single" w:sz="4" w:space="0" w:color="000000"/>
            </w:tcBorders>
            <w:vAlign w:val="center"/>
          </w:tcPr>
          <w:p w:rsidR="000F306A" w:rsidRDefault="000F306A">
            <w:pPr>
              <w:autoSpaceDE/>
              <w:jc w:val="center"/>
              <w:textAlignment w:val="center"/>
              <w:rPr>
                <w:rFonts w:eastAsia="宋体"/>
                <w:color w:val="000000"/>
                <w:sz w:val="24"/>
              </w:rPr>
            </w:pPr>
          </w:p>
        </w:tc>
      </w:tr>
      <w:tr w:rsidR="000F306A">
        <w:trPr>
          <w:trHeight w:val="285"/>
        </w:trPr>
        <w:tc>
          <w:tcPr>
            <w:tcW w:w="1770" w:type="dxa"/>
            <w:gridSpan w:val="2"/>
            <w:vMerge w:val="restart"/>
            <w:tcBorders>
              <w:top w:val="single" w:sz="4" w:space="0" w:color="000000"/>
              <w:left w:val="single" w:sz="4" w:space="0" w:color="000000"/>
              <w:bottom w:val="single" w:sz="4" w:space="0" w:color="000000"/>
              <w:right w:val="single" w:sz="4" w:space="0" w:color="000000"/>
            </w:tcBorders>
            <w:vAlign w:val="center"/>
          </w:tcPr>
          <w:p w:rsidR="000F306A" w:rsidRDefault="000F306A">
            <w:pPr>
              <w:autoSpaceDE/>
              <w:jc w:val="center"/>
              <w:textAlignment w:val="center"/>
              <w:rPr>
                <w:rFonts w:eastAsia="宋体"/>
                <w:color w:val="000000"/>
                <w:sz w:val="24"/>
              </w:rPr>
            </w:pPr>
            <w:r>
              <w:rPr>
                <w:rFonts w:eastAsia="宋体"/>
                <w:color w:val="000000"/>
                <w:sz w:val="24"/>
              </w:rPr>
              <w:t>财政部驻贵州专员办经办人</w:t>
            </w:r>
          </w:p>
        </w:tc>
        <w:tc>
          <w:tcPr>
            <w:tcW w:w="3015" w:type="dxa"/>
            <w:vMerge w:val="restart"/>
            <w:tcBorders>
              <w:top w:val="single" w:sz="4" w:space="0" w:color="000000"/>
              <w:left w:val="single" w:sz="4" w:space="0" w:color="000000"/>
              <w:bottom w:val="single" w:sz="4" w:space="0" w:color="000000"/>
              <w:right w:val="single" w:sz="4" w:space="0" w:color="000000"/>
            </w:tcBorders>
            <w:vAlign w:val="center"/>
          </w:tcPr>
          <w:p w:rsidR="000F306A" w:rsidRDefault="000F306A">
            <w:pPr>
              <w:autoSpaceDE/>
              <w:jc w:val="left"/>
              <w:textAlignment w:val="center"/>
              <w:rPr>
                <w:rFonts w:eastAsia="宋体"/>
                <w:color w:val="000000"/>
                <w:sz w:val="24"/>
              </w:rPr>
            </w:pPr>
          </w:p>
        </w:tc>
        <w:tc>
          <w:tcPr>
            <w:tcW w:w="4260" w:type="dxa"/>
            <w:gridSpan w:val="2"/>
            <w:tcBorders>
              <w:top w:val="single" w:sz="4" w:space="0" w:color="000000"/>
              <w:left w:val="single" w:sz="4" w:space="0" w:color="000000"/>
              <w:bottom w:val="single" w:sz="4" w:space="0" w:color="000000"/>
              <w:right w:val="single" w:sz="4" w:space="0" w:color="000000"/>
            </w:tcBorders>
            <w:vAlign w:val="center"/>
          </w:tcPr>
          <w:p w:rsidR="000F306A" w:rsidRDefault="000F306A">
            <w:pPr>
              <w:autoSpaceDE/>
              <w:jc w:val="left"/>
              <w:textAlignment w:val="center"/>
              <w:rPr>
                <w:rFonts w:eastAsia="宋体"/>
                <w:color w:val="000000"/>
                <w:sz w:val="24"/>
              </w:rPr>
            </w:pPr>
            <w:r>
              <w:rPr>
                <w:rFonts w:eastAsia="宋体"/>
                <w:color w:val="000000"/>
                <w:sz w:val="24"/>
              </w:rPr>
              <w:t>单位财务负责人：</w:t>
            </w:r>
          </w:p>
        </w:tc>
      </w:tr>
      <w:tr w:rsidR="000F306A">
        <w:trPr>
          <w:trHeight w:val="285"/>
        </w:trPr>
        <w:tc>
          <w:tcPr>
            <w:tcW w:w="1770" w:type="dxa"/>
            <w:gridSpan w:val="2"/>
            <w:vMerge/>
            <w:tcBorders>
              <w:top w:val="single" w:sz="4" w:space="0" w:color="000000"/>
              <w:left w:val="single" w:sz="4" w:space="0" w:color="000000"/>
              <w:bottom w:val="single" w:sz="4" w:space="0" w:color="000000"/>
              <w:right w:val="single" w:sz="4" w:space="0" w:color="000000"/>
            </w:tcBorders>
            <w:vAlign w:val="center"/>
          </w:tcPr>
          <w:p w:rsidR="000F306A" w:rsidRDefault="000F306A">
            <w:pPr>
              <w:rPr>
                <w:sz w:val="21"/>
              </w:rPr>
            </w:pPr>
          </w:p>
        </w:tc>
        <w:tc>
          <w:tcPr>
            <w:tcW w:w="3015" w:type="dxa"/>
            <w:vMerge/>
            <w:tcBorders>
              <w:top w:val="single" w:sz="4" w:space="0" w:color="000000"/>
              <w:left w:val="single" w:sz="4" w:space="0" w:color="000000"/>
              <w:bottom w:val="single" w:sz="4" w:space="0" w:color="000000"/>
              <w:right w:val="single" w:sz="4" w:space="0" w:color="000000"/>
            </w:tcBorders>
            <w:vAlign w:val="center"/>
          </w:tcPr>
          <w:p w:rsidR="000F306A" w:rsidRDefault="000F306A">
            <w:pPr>
              <w:rPr>
                <w:sz w:val="21"/>
              </w:rPr>
            </w:pPr>
          </w:p>
        </w:tc>
        <w:tc>
          <w:tcPr>
            <w:tcW w:w="4260" w:type="dxa"/>
            <w:gridSpan w:val="2"/>
            <w:tcBorders>
              <w:top w:val="single" w:sz="4" w:space="0" w:color="000000"/>
              <w:left w:val="single" w:sz="4" w:space="0" w:color="000000"/>
              <w:bottom w:val="single" w:sz="4" w:space="0" w:color="000000"/>
              <w:right w:val="single" w:sz="4" w:space="0" w:color="000000"/>
            </w:tcBorders>
            <w:vAlign w:val="center"/>
          </w:tcPr>
          <w:p w:rsidR="000F306A" w:rsidRDefault="000F306A">
            <w:pPr>
              <w:autoSpaceDE/>
              <w:jc w:val="center"/>
              <w:textAlignment w:val="center"/>
              <w:rPr>
                <w:rFonts w:eastAsia="宋体"/>
                <w:color w:val="000000"/>
                <w:sz w:val="24"/>
              </w:rPr>
            </w:pPr>
            <w:r>
              <w:rPr>
                <w:rFonts w:eastAsia="宋体"/>
                <w:color w:val="000000"/>
                <w:sz w:val="24"/>
              </w:rPr>
              <w:t>日期：    年   月   日</w:t>
            </w:r>
          </w:p>
        </w:tc>
      </w:tr>
      <w:tr w:rsidR="000F306A">
        <w:trPr>
          <w:trHeight w:val="285"/>
        </w:trPr>
        <w:tc>
          <w:tcPr>
            <w:tcW w:w="1770" w:type="dxa"/>
            <w:gridSpan w:val="2"/>
            <w:vMerge/>
            <w:tcBorders>
              <w:top w:val="single" w:sz="4" w:space="0" w:color="000000"/>
              <w:left w:val="single" w:sz="4" w:space="0" w:color="000000"/>
              <w:bottom w:val="single" w:sz="4" w:space="0" w:color="000000"/>
              <w:right w:val="single" w:sz="4" w:space="0" w:color="000000"/>
            </w:tcBorders>
            <w:vAlign w:val="center"/>
          </w:tcPr>
          <w:p w:rsidR="000F306A" w:rsidRDefault="000F306A">
            <w:pPr>
              <w:rPr>
                <w:sz w:val="21"/>
              </w:rPr>
            </w:pPr>
          </w:p>
        </w:tc>
        <w:tc>
          <w:tcPr>
            <w:tcW w:w="3015" w:type="dxa"/>
            <w:vMerge/>
            <w:tcBorders>
              <w:top w:val="single" w:sz="4" w:space="0" w:color="000000"/>
              <w:left w:val="single" w:sz="4" w:space="0" w:color="000000"/>
              <w:bottom w:val="single" w:sz="4" w:space="0" w:color="000000"/>
              <w:right w:val="single" w:sz="4" w:space="0" w:color="000000"/>
            </w:tcBorders>
            <w:vAlign w:val="center"/>
          </w:tcPr>
          <w:p w:rsidR="000F306A" w:rsidRDefault="000F306A">
            <w:pPr>
              <w:rPr>
                <w:sz w:val="21"/>
              </w:rPr>
            </w:pPr>
          </w:p>
        </w:tc>
        <w:tc>
          <w:tcPr>
            <w:tcW w:w="4260" w:type="dxa"/>
            <w:gridSpan w:val="2"/>
            <w:tcBorders>
              <w:top w:val="single" w:sz="4" w:space="0" w:color="000000"/>
              <w:left w:val="single" w:sz="4" w:space="0" w:color="000000"/>
              <w:bottom w:val="single" w:sz="4" w:space="0" w:color="000000"/>
              <w:right w:val="single" w:sz="4" w:space="0" w:color="000000"/>
            </w:tcBorders>
            <w:vAlign w:val="center"/>
          </w:tcPr>
          <w:p w:rsidR="000F306A" w:rsidRDefault="000F306A">
            <w:pPr>
              <w:autoSpaceDE/>
              <w:jc w:val="left"/>
              <w:textAlignment w:val="center"/>
              <w:rPr>
                <w:rFonts w:eastAsia="宋体"/>
                <w:color w:val="000000"/>
                <w:sz w:val="24"/>
              </w:rPr>
            </w:pPr>
            <w:r>
              <w:rPr>
                <w:rFonts w:eastAsia="宋体"/>
                <w:color w:val="000000"/>
                <w:sz w:val="24"/>
              </w:rPr>
              <w:t>单位法人（授权人）：</w:t>
            </w:r>
          </w:p>
        </w:tc>
      </w:tr>
      <w:tr w:rsidR="000F306A">
        <w:trPr>
          <w:trHeight w:val="285"/>
        </w:trPr>
        <w:tc>
          <w:tcPr>
            <w:tcW w:w="1770" w:type="dxa"/>
            <w:gridSpan w:val="2"/>
            <w:vMerge/>
            <w:tcBorders>
              <w:top w:val="single" w:sz="4" w:space="0" w:color="000000"/>
              <w:left w:val="single" w:sz="4" w:space="0" w:color="000000"/>
              <w:bottom w:val="single" w:sz="4" w:space="0" w:color="000000"/>
              <w:right w:val="single" w:sz="4" w:space="0" w:color="000000"/>
            </w:tcBorders>
            <w:vAlign w:val="center"/>
          </w:tcPr>
          <w:p w:rsidR="000F306A" w:rsidRDefault="000F306A">
            <w:pPr>
              <w:rPr>
                <w:sz w:val="21"/>
              </w:rPr>
            </w:pPr>
          </w:p>
        </w:tc>
        <w:tc>
          <w:tcPr>
            <w:tcW w:w="3015" w:type="dxa"/>
            <w:tcBorders>
              <w:top w:val="single" w:sz="4" w:space="0" w:color="000000"/>
              <w:left w:val="single" w:sz="4" w:space="0" w:color="000000"/>
              <w:bottom w:val="single" w:sz="4" w:space="0" w:color="000000"/>
              <w:right w:val="single" w:sz="4" w:space="0" w:color="000000"/>
            </w:tcBorders>
            <w:vAlign w:val="center"/>
          </w:tcPr>
          <w:p w:rsidR="000F306A" w:rsidRDefault="000F306A">
            <w:pPr>
              <w:autoSpaceDE/>
              <w:jc w:val="left"/>
              <w:textAlignment w:val="center"/>
              <w:rPr>
                <w:rFonts w:eastAsia="宋体"/>
                <w:color w:val="000000"/>
                <w:sz w:val="24"/>
              </w:rPr>
            </w:pPr>
            <w:r>
              <w:rPr>
                <w:rFonts w:eastAsia="宋体"/>
                <w:color w:val="000000"/>
                <w:sz w:val="24"/>
              </w:rPr>
              <w:t>日期：    年   月   日</w:t>
            </w:r>
          </w:p>
        </w:tc>
        <w:tc>
          <w:tcPr>
            <w:tcW w:w="4260" w:type="dxa"/>
            <w:gridSpan w:val="2"/>
            <w:tcBorders>
              <w:top w:val="single" w:sz="4" w:space="0" w:color="000000"/>
              <w:left w:val="single" w:sz="4" w:space="0" w:color="000000"/>
              <w:bottom w:val="single" w:sz="4" w:space="0" w:color="000000"/>
              <w:right w:val="single" w:sz="4" w:space="0" w:color="000000"/>
            </w:tcBorders>
            <w:vAlign w:val="center"/>
          </w:tcPr>
          <w:p w:rsidR="000F306A" w:rsidRDefault="000F306A">
            <w:pPr>
              <w:autoSpaceDE/>
              <w:jc w:val="center"/>
              <w:textAlignment w:val="center"/>
              <w:rPr>
                <w:rFonts w:eastAsia="宋体"/>
                <w:color w:val="000000"/>
                <w:sz w:val="24"/>
              </w:rPr>
            </w:pPr>
            <w:r>
              <w:rPr>
                <w:rFonts w:eastAsia="宋体"/>
                <w:color w:val="000000"/>
                <w:sz w:val="24"/>
              </w:rPr>
              <w:t>日期：    年   月   日</w:t>
            </w:r>
          </w:p>
        </w:tc>
      </w:tr>
      <w:tr w:rsidR="000F306A">
        <w:trPr>
          <w:trHeight w:val="570"/>
        </w:trPr>
        <w:tc>
          <w:tcPr>
            <w:tcW w:w="9045" w:type="dxa"/>
            <w:gridSpan w:val="5"/>
            <w:vAlign w:val="center"/>
          </w:tcPr>
          <w:p w:rsidR="000F306A" w:rsidRDefault="000F306A">
            <w:pPr>
              <w:autoSpaceDE/>
              <w:jc w:val="left"/>
              <w:textAlignment w:val="center"/>
              <w:rPr>
                <w:rFonts w:eastAsia="宋体"/>
                <w:color w:val="000000"/>
                <w:sz w:val="21"/>
              </w:rPr>
            </w:pPr>
            <w:r>
              <w:rPr>
                <w:rFonts w:eastAsia="宋体"/>
                <w:color w:val="000000"/>
                <w:sz w:val="21"/>
              </w:rPr>
              <w:t>说明：1.适用于开展中央转移支付资金预算监管中进行实地核查、调查的工作记录。</w:t>
            </w:r>
          </w:p>
        </w:tc>
      </w:tr>
      <w:tr w:rsidR="000F306A">
        <w:trPr>
          <w:gridBefore w:val="1"/>
          <w:gridAfter w:val="1"/>
          <w:wBefore w:w="120" w:type="dxa"/>
          <w:wAfter w:w="105" w:type="dxa"/>
          <w:trHeight w:val="285"/>
        </w:trPr>
        <w:tc>
          <w:tcPr>
            <w:tcW w:w="8820" w:type="dxa"/>
            <w:gridSpan w:val="3"/>
            <w:vAlign w:val="center"/>
          </w:tcPr>
          <w:p w:rsidR="000F306A" w:rsidRDefault="000F306A">
            <w:pPr>
              <w:autoSpaceDE/>
              <w:jc w:val="left"/>
              <w:textAlignment w:val="center"/>
              <w:rPr>
                <w:rFonts w:eastAsia="宋体"/>
                <w:color w:val="000000"/>
                <w:sz w:val="21"/>
              </w:rPr>
            </w:pPr>
            <w:r>
              <w:rPr>
                <w:rFonts w:eastAsia="宋体" w:hint="eastAsia"/>
                <w:color w:val="000000"/>
                <w:sz w:val="21"/>
              </w:rPr>
              <w:t xml:space="preserve">     </w:t>
            </w:r>
            <w:r>
              <w:rPr>
                <w:rFonts w:eastAsia="宋体"/>
                <w:color w:val="000000"/>
                <w:sz w:val="21"/>
              </w:rPr>
              <w:t>2.本记录按一个事项或一个问题反映。</w:t>
            </w:r>
          </w:p>
        </w:tc>
      </w:tr>
    </w:tbl>
    <w:p w:rsidR="000F306A" w:rsidRDefault="000F306A">
      <w:pPr>
        <w:pStyle w:val="ListParagraph"/>
        <w:spacing w:line="480" w:lineRule="auto"/>
        <w:ind w:firstLineChars="0" w:firstLine="0"/>
        <w:rPr>
          <w:rFonts w:ascii="仿宋_GB2312" w:hAnsi="仿宋_GB2312" w:hint="default"/>
          <w:sz w:val="32"/>
        </w:rPr>
      </w:pPr>
      <w:r>
        <w:rPr>
          <w:rFonts w:ascii="仿宋_GB2312" w:hAnsi="仿宋_GB2312"/>
          <w:sz w:val="32"/>
        </w:rPr>
        <w:lastRenderedPageBreak/>
        <w:t>附件2</w:t>
      </w:r>
    </w:p>
    <w:p w:rsidR="000F306A" w:rsidRDefault="00A35C33">
      <w:pPr>
        <w:pStyle w:val="p15"/>
        <w:rPr>
          <w:rFonts w:hint="default"/>
        </w:rPr>
      </w:pPr>
      <w:r>
        <w:rPr>
          <w:rFonts w:hint="default"/>
          <w:noProof/>
        </w:rPr>
        <w:drawing>
          <wp:inline distT="0" distB="0" distL="0" distR="0">
            <wp:extent cx="5457825" cy="8477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57825" cy="847725"/>
                    </a:xfrm>
                    <a:prstGeom prst="rect">
                      <a:avLst/>
                    </a:prstGeom>
                    <a:noFill/>
                    <a:ln w="9525">
                      <a:noFill/>
                      <a:miter lim="800000"/>
                      <a:headEnd/>
                      <a:tailEnd/>
                    </a:ln>
                  </pic:spPr>
                </pic:pic>
              </a:graphicData>
            </a:graphic>
          </wp:inline>
        </w:drawing>
      </w:r>
    </w:p>
    <w:p w:rsidR="000F306A" w:rsidRDefault="000F306A">
      <w:pPr>
        <w:pStyle w:val="p0"/>
        <w:spacing w:before="374"/>
        <w:jc w:val="center"/>
        <w:rPr>
          <w:rFonts w:ascii="方正小标宋简体" w:eastAsia="方正小标宋简体" w:hint="default"/>
          <w:sz w:val="44"/>
        </w:rPr>
      </w:pPr>
      <w:r>
        <w:rPr>
          <w:rFonts w:ascii="方正小标宋简体" w:eastAsia="方正小标宋简体"/>
          <w:sz w:val="44"/>
        </w:rPr>
        <w:t>中央转移支付资金预算监管整改通知书</w:t>
      </w:r>
    </w:p>
    <w:p w:rsidR="000F306A" w:rsidRDefault="000F306A">
      <w:pPr>
        <w:pStyle w:val="p19"/>
        <w:wordWrap w:val="0"/>
        <w:spacing w:line="580" w:lineRule="atLeast"/>
        <w:ind w:right="664" w:firstLine="1280"/>
        <w:jc w:val="right"/>
        <w:rPr>
          <w:rFonts w:eastAsia="宋体" w:hint="default"/>
          <w:sz w:val="32"/>
        </w:rPr>
      </w:pPr>
      <w:r>
        <w:rPr>
          <w:sz w:val="32"/>
        </w:rPr>
        <w:t>财驻黔监改〔20  〕 号</w:t>
      </w:r>
    </w:p>
    <w:p w:rsidR="000F306A" w:rsidRDefault="000F306A">
      <w:pPr>
        <w:pStyle w:val="p19"/>
        <w:spacing w:line="580" w:lineRule="atLeast"/>
        <w:rPr>
          <w:rFonts w:eastAsia="宋体" w:hint="default"/>
          <w:sz w:val="32"/>
        </w:rPr>
      </w:pPr>
    </w:p>
    <w:p w:rsidR="000F306A" w:rsidRDefault="000F306A">
      <w:pPr>
        <w:pStyle w:val="p19"/>
        <w:rPr>
          <w:rFonts w:eastAsia="宋体" w:hint="default"/>
          <w:sz w:val="32"/>
        </w:rPr>
      </w:pPr>
      <w:r>
        <w:rPr>
          <w:sz w:val="32"/>
        </w:rPr>
        <w:t>（主送单位全称或者规范简称）：</w:t>
      </w:r>
    </w:p>
    <w:p w:rsidR="000F306A" w:rsidRDefault="000F306A">
      <w:pPr>
        <w:pStyle w:val="p18"/>
        <w:ind w:firstLine="640"/>
        <w:rPr>
          <w:rFonts w:eastAsia="宋体" w:hint="default"/>
          <w:sz w:val="32"/>
        </w:rPr>
      </w:pPr>
      <w:r>
        <w:rPr>
          <w:sz w:val="32"/>
        </w:rPr>
        <w:t>你单位201*年*月*日（文件名称及文号）报来（或问题来源），情况简述：</w:t>
      </w:r>
      <w:r>
        <w:rPr>
          <w:rFonts w:ascii="宋体" w:eastAsia="宋体"/>
          <w:sz w:val="32"/>
        </w:rPr>
        <w:t>―――</w:t>
      </w:r>
      <w:r>
        <w:rPr>
          <w:sz w:val="32"/>
        </w:rPr>
        <w:t>。我办监控分析发现</w:t>
      </w:r>
      <w:r>
        <w:rPr>
          <w:rFonts w:hint="default"/>
          <w:sz w:val="32"/>
        </w:rPr>
        <w:t>——</w:t>
      </w:r>
      <w:r>
        <w:rPr>
          <w:sz w:val="32"/>
        </w:rPr>
        <w:t>，并于201*年*月*日至*月*日，对进行了实地核查（调查）。</w:t>
      </w:r>
    </w:p>
    <w:p w:rsidR="000F306A" w:rsidRDefault="000F306A">
      <w:pPr>
        <w:pStyle w:val="p18"/>
        <w:ind w:firstLine="640"/>
        <w:rPr>
          <w:rFonts w:eastAsia="宋体" w:hint="default"/>
          <w:sz w:val="32"/>
        </w:rPr>
      </w:pPr>
      <w:r>
        <w:rPr>
          <w:sz w:val="32"/>
        </w:rPr>
        <w:t>一、存在问题（简述事实）</w:t>
      </w:r>
    </w:p>
    <w:p w:rsidR="000F306A" w:rsidRDefault="000F306A">
      <w:pPr>
        <w:pStyle w:val="p18"/>
        <w:ind w:firstLine="640"/>
        <w:rPr>
          <w:rFonts w:eastAsia="宋体" w:hint="default"/>
          <w:sz w:val="32"/>
        </w:rPr>
      </w:pPr>
      <w:r>
        <w:rPr>
          <w:sz w:val="32"/>
        </w:rPr>
        <w:t>二、整改要求</w:t>
      </w:r>
    </w:p>
    <w:p w:rsidR="000F306A" w:rsidRDefault="000F306A">
      <w:pPr>
        <w:pStyle w:val="p18"/>
        <w:ind w:firstLine="640"/>
        <w:rPr>
          <w:rFonts w:eastAsia="宋体" w:hint="default"/>
          <w:sz w:val="32"/>
        </w:rPr>
      </w:pPr>
      <w:r>
        <w:rPr>
          <w:sz w:val="32"/>
        </w:rPr>
        <w:t>整改依据、目标要求及时间要求。</w:t>
      </w:r>
    </w:p>
    <w:p w:rsidR="000F306A" w:rsidRDefault="000F306A">
      <w:pPr>
        <w:pStyle w:val="p15"/>
        <w:rPr>
          <w:rFonts w:ascii="仿宋_GB2312" w:hint="default"/>
        </w:rPr>
      </w:pPr>
    </w:p>
    <w:p w:rsidR="000F306A" w:rsidRDefault="000F306A">
      <w:pPr>
        <w:pStyle w:val="p15"/>
        <w:jc w:val="right"/>
        <w:rPr>
          <w:rFonts w:ascii="仿宋_GB2312" w:hint="default"/>
        </w:rPr>
      </w:pPr>
      <w:r>
        <w:rPr>
          <w:rFonts w:ascii="仿宋_GB2312"/>
        </w:rPr>
        <w:t>财政部驻贵州省财政监察专员办事处</w:t>
      </w:r>
    </w:p>
    <w:p w:rsidR="000F306A" w:rsidRDefault="000F306A">
      <w:pPr>
        <w:pStyle w:val="p19"/>
        <w:rPr>
          <w:rFonts w:eastAsia="宋体" w:hint="default"/>
          <w:sz w:val="32"/>
        </w:rPr>
      </w:pPr>
      <w:r>
        <w:rPr>
          <w:sz w:val="32"/>
        </w:rPr>
        <w:t xml:space="preserve">                                 年 月 日</w:t>
      </w:r>
    </w:p>
    <w:p w:rsidR="000F306A" w:rsidRDefault="000F306A">
      <w:pPr>
        <w:pStyle w:val="3"/>
        <w:spacing w:line="360" w:lineRule="exact"/>
        <w:rPr>
          <w:rFonts w:hint="eastAsia"/>
        </w:rPr>
      </w:pPr>
    </w:p>
    <w:sectPr w:rsidR="000F306A">
      <w:headerReference w:type="even" r:id="rId8"/>
      <w:headerReference w:type="default" r:id="rId9"/>
      <w:footerReference w:type="even" r:id="rId10"/>
      <w:footerReference w:type="default" r:id="rId11"/>
      <w:pgSz w:w="11906" w:h="16838"/>
      <w:pgMar w:top="2098" w:right="1474" w:bottom="1985" w:left="1588" w:header="851" w:footer="1134" w:gutter="0"/>
      <w:cols w:space="720"/>
      <w:docGrid w:type="line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FB4" w:rsidRDefault="00C15FB4">
      <w:pPr>
        <w:spacing w:line="240" w:lineRule="auto"/>
      </w:pPr>
      <w:r>
        <w:separator/>
      </w:r>
    </w:p>
  </w:endnote>
  <w:endnote w:type="continuationSeparator" w:id="1">
    <w:p w:rsidR="00C15FB4" w:rsidRDefault="00C15FB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altName w:val="宋体"/>
    <w:charset w:val="86"/>
    <w:family w:val="script"/>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微软雅黑"/>
    <w:charset w:val="86"/>
    <w:family w:val="modern"/>
    <w:pitch w:val="fixed"/>
    <w:sig w:usb0="00000001"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6A" w:rsidRDefault="000F306A">
    <w:pPr>
      <w:pStyle w:val="a5"/>
      <w:framePr w:w="1596" w:h="0" w:wrap="around" w:vAnchor="text" w:hAnchor="page" w:x="1929" w:y="-190"/>
      <w:spacing w:line="240" w:lineRule="auto"/>
      <w:jc w:val="both"/>
      <w:rPr>
        <w:rStyle w:val="a3"/>
        <w:rFonts w:hint="eastAsia"/>
        <w:sz w:val="28"/>
      </w:rPr>
    </w:pPr>
    <w:r>
      <w:rPr>
        <w:rStyle w:val="a3"/>
        <w:rFonts w:ascii="仿宋_GB2312" w:hint="eastAsia"/>
        <w:sz w:val="28"/>
      </w:rPr>
      <w:t xml:space="preserve">— </w:t>
    </w:r>
    <w:r>
      <w:rPr>
        <w:sz w:val="28"/>
      </w:rPr>
      <w:fldChar w:fldCharType="begin"/>
    </w:r>
    <w:r>
      <w:rPr>
        <w:rStyle w:val="a3"/>
        <w:sz w:val="28"/>
      </w:rPr>
      <w:instrText xml:space="preserve">PAGE  </w:instrText>
    </w:r>
    <w:r>
      <w:rPr>
        <w:sz w:val="28"/>
      </w:rPr>
      <w:fldChar w:fldCharType="separate"/>
    </w:r>
    <w:r w:rsidR="00A35C33">
      <w:rPr>
        <w:rStyle w:val="a3"/>
        <w:noProof/>
        <w:sz w:val="28"/>
      </w:rPr>
      <w:t>16</w:t>
    </w:r>
    <w:r>
      <w:rPr>
        <w:sz w:val="28"/>
      </w:rPr>
      <w:fldChar w:fldCharType="end"/>
    </w:r>
    <w:r>
      <w:rPr>
        <w:rStyle w:val="a3"/>
        <w:rFonts w:hint="eastAsia"/>
        <w:sz w:val="28"/>
      </w:rPr>
      <w:t xml:space="preserve"> </w:t>
    </w:r>
    <w:r>
      <w:rPr>
        <w:rStyle w:val="a3"/>
        <w:rFonts w:ascii="仿宋_GB2312" w:hint="eastAsia"/>
        <w:sz w:val="28"/>
      </w:rPr>
      <w:t>—</w:t>
    </w:r>
  </w:p>
  <w:p w:rsidR="000F306A" w:rsidRDefault="000F306A">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6A" w:rsidRDefault="000F306A">
    <w:pPr>
      <w:pStyle w:val="a5"/>
      <w:framePr w:w="2055" w:h="0" w:wrap="around" w:vAnchor="text" w:hAnchor="page" w:x="8370" w:y="-250"/>
      <w:spacing w:line="0" w:lineRule="atLeast"/>
      <w:ind w:right="345"/>
      <w:jc w:val="right"/>
      <w:rPr>
        <w:rStyle w:val="a3"/>
        <w:sz w:val="28"/>
      </w:rPr>
    </w:pPr>
    <w:r>
      <w:rPr>
        <w:rStyle w:val="a3"/>
        <w:rFonts w:ascii="仿宋_GB2312" w:hint="eastAsia"/>
        <w:sz w:val="28"/>
      </w:rPr>
      <w:t xml:space="preserve">— </w:t>
    </w:r>
    <w:r>
      <w:rPr>
        <w:sz w:val="28"/>
      </w:rPr>
      <w:fldChar w:fldCharType="begin"/>
    </w:r>
    <w:r>
      <w:rPr>
        <w:rStyle w:val="a3"/>
        <w:sz w:val="28"/>
      </w:rPr>
      <w:instrText xml:space="preserve">PAGE  </w:instrText>
    </w:r>
    <w:r>
      <w:rPr>
        <w:sz w:val="28"/>
      </w:rPr>
      <w:fldChar w:fldCharType="separate"/>
    </w:r>
    <w:r w:rsidR="00A35C33">
      <w:rPr>
        <w:rStyle w:val="a3"/>
        <w:noProof/>
        <w:sz w:val="28"/>
      </w:rPr>
      <w:t>1</w:t>
    </w:r>
    <w:r>
      <w:rPr>
        <w:sz w:val="28"/>
      </w:rPr>
      <w:fldChar w:fldCharType="end"/>
    </w:r>
    <w:r>
      <w:rPr>
        <w:rStyle w:val="a3"/>
        <w:rFonts w:hint="eastAsia"/>
        <w:sz w:val="28"/>
      </w:rPr>
      <w:t xml:space="preserve"> </w:t>
    </w:r>
    <w:r>
      <w:rPr>
        <w:rStyle w:val="a3"/>
        <w:rFonts w:ascii="仿宋_GB2312" w:hint="eastAsia"/>
        <w:sz w:val="28"/>
      </w:rPr>
      <w:t>—</w:t>
    </w:r>
  </w:p>
  <w:p w:rsidR="000F306A" w:rsidRDefault="000F306A">
    <w:pPr>
      <w:pStyle w:val="a5"/>
      <w:tabs>
        <w:tab w:val="clear" w:pos="8306"/>
      </w:tabs>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FB4" w:rsidRDefault="00C15FB4">
      <w:pPr>
        <w:spacing w:line="240" w:lineRule="auto"/>
      </w:pPr>
      <w:r>
        <w:separator/>
      </w:r>
    </w:p>
  </w:footnote>
  <w:footnote w:type="continuationSeparator" w:id="1">
    <w:p w:rsidR="00C15FB4" w:rsidRDefault="00C15FB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6A" w:rsidRDefault="000F306A">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6A" w:rsidRDefault="000F306A">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evenAndOddHeaders/>
  <w:drawingGridHorizontalSpacing w:val="57"/>
  <w:drawingGridVerticalSpacing w:val="579"/>
  <w:displayHorizontalDrawingGridEvery w:val="0"/>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D3E50"/>
    <w:rsid w:val="000F306A"/>
    <w:rsid w:val="00230548"/>
    <w:rsid w:val="00A35C33"/>
    <w:rsid w:val="00C15FB4"/>
    <w:rsid w:val="00D543B3"/>
    <w:rsid w:val="00F54B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napToGrid w:val="0"/>
      <w:spacing w:line="588" w:lineRule="atLeast"/>
      <w:jc w:val="both"/>
    </w:pPr>
    <w:rPr>
      <w:rFonts w:ascii="宋体" w:eastAsia="仿宋_GB2312" w:hAnsi="宋体"/>
      <w:spacing w:val="6"/>
      <w:kern w:val="2"/>
      <w:sz w:val="30"/>
      <w:szCs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pBdr>
        <w:bottom w:val="single" w:sz="6" w:space="1" w:color="auto"/>
      </w:pBdr>
      <w:tabs>
        <w:tab w:val="center" w:pos="4153"/>
        <w:tab w:val="right" w:pos="8306"/>
      </w:tabs>
      <w:jc w:val="center"/>
    </w:pPr>
    <w:rPr>
      <w:sz w:val="18"/>
      <w:szCs w:val="18"/>
    </w:rPr>
  </w:style>
  <w:style w:type="paragraph" w:customStyle="1" w:styleId="p0">
    <w:name w:val="p0"/>
    <w:basedOn w:val="a"/>
    <w:pPr>
      <w:widowControl/>
    </w:pPr>
    <w:rPr>
      <w:rFonts w:hint="eastAsia"/>
    </w:rPr>
  </w:style>
  <w:style w:type="paragraph" w:styleId="a5">
    <w:name w:val="footer"/>
    <w:basedOn w:val="a"/>
    <w:pPr>
      <w:tabs>
        <w:tab w:val="center" w:pos="4153"/>
        <w:tab w:val="right" w:pos="8306"/>
      </w:tabs>
      <w:jc w:val="left"/>
    </w:pPr>
    <w:rPr>
      <w:sz w:val="18"/>
      <w:szCs w:val="18"/>
    </w:rPr>
  </w:style>
  <w:style w:type="paragraph" w:styleId="a6">
    <w:name w:val="Body Text Indent"/>
    <w:basedOn w:val="a"/>
    <w:pPr>
      <w:ind w:left="1596" w:hanging="969"/>
    </w:pPr>
  </w:style>
  <w:style w:type="paragraph" w:styleId="a7">
    <w:name w:val="Body Text"/>
    <w:basedOn w:val="a"/>
  </w:style>
  <w:style w:type="paragraph" w:styleId="a8">
    <w:name w:val="Block Text"/>
    <w:basedOn w:val="a"/>
    <w:pPr>
      <w:spacing w:line="600" w:lineRule="exact"/>
      <w:ind w:leftChars="-1" w:left="-3" w:rightChars="-88" w:right="-275" w:firstLineChars="38" w:firstLine="172"/>
      <w:jc w:val="center"/>
    </w:pPr>
    <w:rPr>
      <w:rFonts w:ascii="华文中宋" w:eastAsia="华文中宋" w:hAnsi="华文中宋"/>
      <w:b/>
      <w:bCs/>
      <w:sz w:val="44"/>
    </w:rPr>
  </w:style>
  <w:style w:type="paragraph" w:styleId="3">
    <w:name w:val="Body Text 3"/>
    <w:basedOn w:val="a"/>
    <w:pPr>
      <w:autoSpaceDE/>
      <w:autoSpaceDN/>
      <w:adjustRightInd/>
      <w:snapToGrid/>
      <w:spacing w:line="720" w:lineRule="exact"/>
      <w:jc w:val="center"/>
    </w:pPr>
    <w:rPr>
      <w:rFonts w:ascii="华文中宋" w:eastAsia="华文中宋" w:hAnsi="华文中宋"/>
      <w:b/>
      <w:bCs/>
      <w:sz w:val="44"/>
      <w:szCs w:val="32"/>
    </w:rPr>
  </w:style>
  <w:style w:type="paragraph" w:styleId="2">
    <w:name w:val="Body Text Indent 2"/>
    <w:basedOn w:val="a"/>
    <w:pPr>
      <w:autoSpaceDN/>
      <w:ind w:firstLine="640"/>
    </w:pPr>
    <w:rPr>
      <w:rFonts w:eastAsia="方正仿宋_GBK"/>
    </w:rPr>
  </w:style>
  <w:style w:type="paragraph" w:styleId="20">
    <w:name w:val="Body Text 2"/>
    <w:basedOn w:val="a"/>
    <w:rPr>
      <w:rFonts w:eastAsia="华文中宋"/>
      <w:sz w:val="72"/>
    </w:rPr>
  </w:style>
  <w:style w:type="paragraph" w:customStyle="1" w:styleId="p19">
    <w:name w:val="p19"/>
    <w:basedOn w:val="a"/>
    <w:pPr>
      <w:widowControl/>
    </w:pPr>
    <w:rPr>
      <w:rFonts w:ascii="仿宋_GB2312" w:hint="eastAsia"/>
    </w:rPr>
  </w:style>
  <w:style w:type="paragraph" w:customStyle="1" w:styleId="ListParagraph">
    <w:name w:val="List Paragraph"/>
    <w:basedOn w:val="a"/>
    <w:pPr>
      <w:ind w:firstLineChars="200" w:firstLine="420"/>
    </w:pPr>
    <w:rPr>
      <w:rFonts w:ascii="Calibri" w:hAnsi="Calibri" w:hint="eastAsia"/>
    </w:rPr>
  </w:style>
  <w:style w:type="paragraph" w:customStyle="1" w:styleId="p15">
    <w:name w:val="p15"/>
    <w:basedOn w:val="a"/>
    <w:pPr>
      <w:widowControl/>
    </w:pPr>
    <w:rPr>
      <w:rFonts w:hint="eastAsia"/>
      <w:sz w:val="32"/>
    </w:rPr>
  </w:style>
  <w:style w:type="paragraph" w:customStyle="1" w:styleId="p18">
    <w:name w:val="p18"/>
    <w:basedOn w:val="a"/>
    <w:pPr>
      <w:widowControl/>
    </w:pPr>
    <w:rPr>
      <w:rFonts w:ascii="仿宋_GB2312" w:hint="eastAsia"/>
    </w:rPr>
  </w:style>
  <w:style w:type="paragraph" w:customStyle="1" w:styleId="CharCharCharCharCharCharChar">
    <w:name w:val="Char Char Char Char Char Char Char"/>
    <w:basedOn w:val="a"/>
    <w:pPr>
      <w:autoSpaceDE/>
      <w:autoSpaceDN/>
      <w:adjustRightInd/>
      <w:snapToGrid/>
      <w:spacing w:line="240" w:lineRule="auto"/>
    </w:pPr>
    <w:rPr>
      <w:rFonts w:ascii="Times New Roman" w:eastAsia="宋体" w:hAnsi="Times New Roman"/>
      <w:spacing w:val="0"/>
      <w:sz w:val="21"/>
    </w:rPr>
  </w:style>
  <w:style w:type="paragraph" w:styleId="a9">
    <w:name w:val="Balloon Text"/>
    <w:basedOn w:val="a"/>
    <w:link w:val="Char"/>
    <w:uiPriority w:val="99"/>
    <w:semiHidden/>
    <w:unhideWhenUsed/>
    <w:rsid w:val="00230548"/>
    <w:pPr>
      <w:spacing w:line="240" w:lineRule="auto"/>
    </w:pPr>
    <w:rPr>
      <w:sz w:val="18"/>
      <w:szCs w:val="18"/>
    </w:rPr>
  </w:style>
  <w:style w:type="character" w:customStyle="1" w:styleId="Char">
    <w:name w:val="批注框文本 Char"/>
    <w:basedOn w:val="a0"/>
    <w:link w:val="a9"/>
    <w:uiPriority w:val="99"/>
    <w:semiHidden/>
    <w:rsid w:val="00230548"/>
    <w:rPr>
      <w:rFonts w:ascii="宋体" w:eastAsia="仿宋_GB2312" w:hAnsi="宋体"/>
      <w:spacing w:val="6"/>
      <w:kern w:val="2"/>
      <w:sz w:val="18"/>
      <w:szCs w:val="18"/>
    </w:rPr>
  </w:style>
  <w:style w:type="paragraph" w:styleId="aa">
    <w:name w:val="Date"/>
    <w:basedOn w:val="a"/>
    <w:next w:val="a"/>
    <w:link w:val="Char0"/>
    <w:uiPriority w:val="99"/>
    <w:semiHidden/>
    <w:unhideWhenUsed/>
    <w:rsid w:val="000D3E50"/>
    <w:pPr>
      <w:ind w:leftChars="2500" w:left="100"/>
    </w:pPr>
  </w:style>
  <w:style w:type="character" w:customStyle="1" w:styleId="Char0">
    <w:name w:val="日期 Char"/>
    <w:basedOn w:val="a0"/>
    <w:link w:val="aa"/>
    <w:uiPriority w:val="99"/>
    <w:semiHidden/>
    <w:rsid w:val="000D3E50"/>
    <w:rPr>
      <w:rFonts w:ascii="宋体" w:eastAsia="仿宋_GB2312" w:hAnsi="宋体"/>
      <w:spacing w:val="6"/>
      <w:kern w:val="2"/>
      <w:sz w:val="30"/>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2177572.ht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16</Pages>
  <Words>996</Words>
  <Characters>5678</Characters>
  <Application>Microsoft Office Word</Application>
  <DocSecurity>4</DocSecurity>
  <PresentationFormat/>
  <Lines>47</Lines>
  <Paragraphs>13</Paragraphs>
  <Slides>0</Slides>
  <Notes>0</Notes>
  <HiddenSlides>0</HiddenSlides>
  <MMClips>0</MMClips>
  <ScaleCrop>false</ScaleCrop>
  <Manager/>
  <Company>czb</Company>
  <LinksUpToDate>false</LinksUpToDate>
  <CharactersWithSpaces>6661</CharactersWithSpaces>
  <SharedDoc>false</SharedDoc>
  <HLinks>
    <vt:vector size="6" baseType="variant">
      <vt:variant>
        <vt:i4>6422578</vt:i4>
      </vt:variant>
      <vt:variant>
        <vt:i4>0</vt:i4>
      </vt:variant>
      <vt:variant>
        <vt:i4>0</vt:i4>
      </vt:variant>
      <vt:variant>
        <vt:i4>5</vt:i4>
      </vt:variant>
      <vt:variant>
        <vt:lpwstr>http://baike.baidu.com/view/2177572.htm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金金金金金金金金金金金金金金金金金金金金金金金金金金金金金金金金金金金金金金金金金金金金金金金金金金金金金金金金金金金金金</dc:title>
  <dc:subject/>
  <dc:creator>gao</dc:creator>
  <cp:keywords/>
  <dc:description/>
  <cp:lastModifiedBy>于昕 副主任科员</cp:lastModifiedBy>
  <cp:revision>2</cp:revision>
  <cp:lastPrinted>2005-09-15T02:13:00Z</cp:lastPrinted>
  <dcterms:created xsi:type="dcterms:W3CDTF">2016-05-27T00:49:00Z</dcterms:created>
  <dcterms:modified xsi:type="dcterms:W3CDTF">2016-05-27T00:49:00Z</dcterms:modified>
  <cp:category/>
</cp:coreProperties>
</file>